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附件3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r>
        <w:rPr>
          <w:rFonts w:ascii="Times New Roman" w:hAnsi="Times New Roman" w:eastAsia="黑体" w:cs="Times New Roman"/>
          <w:bCs/>
          <w:sz w:val="52"/>
          <w:szCs w:val="52"/>
        </w:rPr>
        <w:t>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hint="eastAsia" w:ascii="仿宋_GB2312" w:hAnsi="仿宋_GB2312" w:eastAsia="仿宋_GB2312" w:cs="仿宋_GB2312"/>
          <w:b/>
          <w:sz w:val="52"/>
        </w:rPr>
      </w:pPr>
    </w:p>
    <w:p>
      <w:pPr>
        <w:spacing w:line="360" w:lineRule="auto"/>
        <w:ind w:firstLine="1800" w:firstLineChars="600"/>
        <w:rPr>
          <w:rFonts w:hint="eastAsia"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u w:val="single"/>
        </w:rPr>
      </w:pPr>
    </w:p>
    <w:p>
      <w:pPr>
        <w:spacing w:line="360" w:lineRule="auto"/>
        <w:ind w:firstLine="1800" w:firstLineChars="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所在省市</w:t>
      </w:r>
      <w:r>
        <w:rPr>
          <w:rFonts w:hint="eastAsia" w:ascii="仿宋_GB2312" w:hAnsi="仿宋_GB2312" w:eastAsia="仿宋_GB2312" w:cs="仿宋_GB2312"/>
          <w:sz w:val="30"/>
        </w:rPr>
        <w:t>：</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工业和信息化部制</w:t>
      </w: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hint="eastAsia" w:ascii="仿宋_GB2312" w:hAnsi="仿宋_GB2312" w:eastAsia="仿宋_GB2312" w:cs="仿宋_GB2312"/>
          <w:b/>
          <w:sz w:val="30"/>
        </w:rPr>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份、电子版一份）。</w:t>
      </w:r>
    </w:p>
    <w:p>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eastAsia" w:ascii="黑体" w:hAnsi="黑体" w:eastAsia="黑体" w:cs="黑体"/>
          <w:sz w:val="32"/>
          <w:szCs w:val="32"/>
          <w:lang w:eastAsia="zh-CN"/>
        </w:rPr>
        <w:t>一、企业</w:t>
      </w:r>
      <w:r>
        <w:rPr>
          <w:rFonts w:hint="eastAsia" w:ascii="黑体" w:hAnsi="黑体" w:eastAsia="黑体" w:cs="黑体"/>
          <w:sz w:val="32"/>
          <w:szCs w:val="32"/>
        </w:rPr>
        <w:t>基</w:t>
      </w:r>
      <w:r>
        <w:rPr>
          <w:rFonts w:ascii="Times New Roman" w:hAnsi="Times New Roman" w:eastAsia="黑体" w:cs="Times New Roman"/>
          <w:sz w:val="32"/>
          <w:szCs w:val="32"/>
        </w:rPr>
        <w:t>本信息表</w:t>
      </w:r>
    </w:p>
    <w:tbl>
      <w:tblPr>
        <w:tblStyle w:val="5"/>
        <w:tblW w:w="85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名称</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通讯</w:t>
            </w:r>
            <w:r>
              <w:rPr>
                <w:rFonts w:ascii="Times New Roman" w:hAnsi="Times New Roman" w:eastAsia="仿宋_GB2312" w:cs="Times New Roman"/>
                <w:color w:val="000000"/>
                <w:kern w:val="0"/>
                <w:sz w:val="24"/>
              </w:rPr>
              <w:t>地址</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内资（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国有</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集体</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民营）</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中外合资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港澳台</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512"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lang w:eastAsia="zh-CN"/>
              </w:rPr>
              <w:t>电话</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bl>
    <w:p>
      <w:pPr/>
    </w:p>
    <w:p>
      <w:pPr>
        <w:numPr>
          <w:ilvl w:val="0"/>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产品名称</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产品型号</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产品品牌</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产品专利</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产品功能描述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主要技术参数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522" w:type="dxa"/>
            <w:gridSpan w:val="4"/>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近三年</w:t>
            </w:r>
            <w:r>
              <w:rPr>
                <w:rFonts w:hint="eastAsia" w:ascii="仿宋_GB2312" w:hAnsi="仿宋_GB2312" w:eastAsia="仿宋_GB2312" w:cs="仿宋_GB2312"/>
                <w:sz w:val="24"/>
                <w:szCs w:val="24"/>
                <w:shd w:val="clear" w:color="auto" w:fill="FFFFFF"/>
                <w:lang w:eastAsia="zh-CN"/>
              </w:rPr>
              <w:t>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年份</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w:t>
            </w:r>
            <w:r>
              <w:rPr>
                <w:rFonts w:hint="eastAsia" w:ascii="仿宋_GB2312" w:hAnsi="仿宋_GB2312" w:eastAsia="仿宋_GB2312" w:cs="仿宋_GB2312"/>
                <w:sz w:val="24"/>
                <w:szCs w:val="24"/>
                <w:shd w:val="clear" w:color="auto" w:fill="FFFFFF"/>
              </w:rPr>
              <w:t>产量</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产品销售收入占总收入比重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产品利润额占</w:t>
            </w:r>
          </w:p>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总额的比重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bl>
    <w:p>
      <w:pPr>
        <w:numPr>
          <w:ilvl w:val="0"/>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pPr>
        <w:adjustRightInd w:val="0"/>
        <w:snapToGrid w:val="0"/>
        <w:spacing w:line="360" w:lineRule="auto"/>
        <w:ind w:firstLine="645"/>
        <w:rPr>
          <w:rFonts w:hint="eastAsia" w:ascii="Times New Roman" w:hAnsi="Times New Roman" w:eastAsia="黑体" w:cs="Times New Roman"/>
          <w:bCs/>
          <w:sz w:val="32"/>
          <w:szCs w:val="32"/>
          <w:lang w:eastAsia="zh-CN"/>
        </w:rPr>
      </w:pPr>
      <w:r>
        <w:rPr>
          <w:rFonts w:hint="eastAsia" w:ascii="仿宋_GB2312" w:hAnsi="仿宋_GB2312" w:eastAsia="仿宋_GB2312" w:cs="仿宋_GB2312"/>
          <w:sz w:val="32"/>
          <w:szCs w:val="32"/>
          <w:shd w:val="clear" w:color="auto" w:fill="FFFFFF"/>
          <w:lang w:val="en-US" w:eastAsia="zh-CN"/>
        </w:rPr>
        <w:t>按照绿色设计评价标准中评价指标要求，对照基准值，逐项列表提供各指标的实际值及相应的证明文件来源，并给出总体自评价结论。</w:t>
      </w:r>
    </w:p>
    <w:p>
      <w:pPr>
        <w:numPr>
          <w:ilvl w:val="0"/>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pPr>
        <w:adjustRightInd w:val="0"/>
        <w:snapToGrid w:val="0"/>
        <w:spacing w:before="156" w:beforeLines="50" w:after="156" w:afterLines="50" w:line="360" w:lineRule="auto"/>
        <w:outlineLvl w:val="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adjustRightInd w:val="0"/>
        <w:snapToGrid w:val="0"/>
        <w:spacing w:before="156" w:beforeLines="50" w:after="156" w:afterLines="50" w:line="360" w:lineRule="auto"/>
        <w:outlineLvl w:val="0"/>
        <w:rPr>
          <w:rFonts w:ascii="黑体" w:hAnsi="黑体" w:eastAsia="黑体" w:cs="黑体"/>
          <w:bCs/>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    </w:t>
      </w:r>
      <w:r>
        <w:rPr>
          <w:rFonts w:hint="eastAsia" w:ascii="黑体" w:hAnsi="黑体" w:eastAsia="黑体" w:cs="黑体"/>
          <w:bCs/>
          <w:sz w:val="32"/>
          <w:szCs w:val="32"/>
          <w:shd w:val="clear" w:color="auto" w:fill="FFFFFF"/>
          <w:lang w:eastAsia="zh-CN"/>
        </w:rPr>
        <w:t>五、相关证明材料</w:t>
      </w:r>
    </w:p>
    <w:p>
      <w:pPr>
        <w:adjustRightInd w:val="0"/>
        <w:snapToGrid w:val="0"/>
        <w:spacing w:line="360" w:lineRule="auto"/>
        <w:ind w:firstLine="630"/>
        <w:rPr>
          <w:rFonts w:hint="eastAsia" w:ascii="仿宋_GB2312" w:hAnsi="仿宋_GB2312" w:eastAsia="仿宋_GB2312" w:cs="仿宋_GB2312"/>
          <w:sz w:val="32"/>
          <w:szCs w:val="32"/>
          <w:shd w:val="clear" w:color="auto" w:fill="FFFFFF"/>
        </w:rPr>
      </w:pP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企业法人证书</w:t>
      </w:r>
      <w:r>
        <w:rPr>
          <w:rFonts w:hint="eastAsia" w:ascii="仿宋_GB2312" w:hAnsi="仿宋_GB2312" w:eastAsia="仿宋_GB2312" w:cs="仿宋_GB2312"/>
          <w:sz w:val="32"/>
          <w:szCs w:val="32"/>
          <w:shd w:val="clear" w:color="auto" w:fill="FFFFFF"/>
        </w:rPr>
        <w:t>复印件</w:t>
      </w:r>
      <w:r>
        <w:rPr>
          <w:rFonts w:hint="eastAsia" w:ascii="仿宋_GB2312" w:hAnsi="仿宋_GB2312" w:eastAsia="仿宋_GB2312" w:cs="仿宋_GB2312"/>
          <w:sz w:val="32"/>
          <w:szCs w:val="32"/>
          <w:shd w:val="clear" w:color="auto" w:fill="FFFFFF"/>
          <w:lang w:eastAsia="zh-CN"/>
        </w:rPr>
        <w:t>（</w:t>
      </w:r>
      <w:r>
        <w:rPr>
          <w:rFonts w:hint="eastAsia" w:ascii="仿宋_GB2312" w:eastAsia="仿宋_GB2312"/>
          <w:sz w:val="32"/>
          <w:szCs w:val="32"/>
          <w:shd w:val="clear" w:color="auto" w:fill="FFFFFF"/>
        </w:rPr>
        <w:t>加盖公章</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、注册商标证明（授权书）、品牌授权书；</w:t>
      </w:r>
    </w:p>
    <w:p>
      <w:pPr>
        <w:adjustRightInd w:val="0"/>
        <w:snapToGrid w:val="0"/>
        <w:spacing w:line="360" w:lineRule="auto"/>
        <w:ind w:firstLine="63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标准符合性证明材料</w:t>
      </w:r>
      <w:r>
        <w:rPr>
          <w:rFonts w:hint="eastAsia" w:ascii="仿宋_GB2312" w:hAnsi="仿宋_GB2312" w:eastAsia="仿宋_GB2312" w:cs="仿宋_GB2312"/>
          <w:sz w:val="32"/>
          <w:szCs w:val="32"/>
          <w:shd w:val="clear" w:color="auto" w:fill="FFFFFF"/>
          <w:lang w:eastAsia="zh-CN"/>
        </w:rPr>
        <w:t>（如具有相应资质的</w:t>
      </w:r>
      <w:r>
        <w:rPr>
          <w:rFonts w:hint="eastAsia" w:ascii="仿宋_GB2312" w:hAnsi="仿宋_GB2312" w:eastAsia="仿宋_GB2312" w:cs="仿宋_GB2312"/>
          <w:sz w:val="32"/>
          <w:szCs w:val="32"/>
          <w:shd w:val="clear" w:color="auto" w:fill="FFFFFF"/>
        </w:rPr>
        <w:t>检测机构出具的检测报告</w:t>
      </w:r>
      <w:r>
        <w:rPr>
          <w:rFonts w:hint="eastAsia" w:ascii="仿宋_GB2312" w:hAnsi="仿宋_GB2312" w:eastAsia="仿宋_GB2312" w:cs="仿宋_GB2312"/>
          <w:sz w:val="32"/>
          <w:szCs w:val="32"/>
          <w:shd w:val="clear" w:color="auto" w:fill="FFFFFF"/>
          <w:lang w:eastAsia="zh-CN"/>
        </w:rPr>
        <w:t>等）；</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3.产品生命周期评价报告：须按照绿色设计评价标准中产品生命周期评价报告编制方法要求进行编制。</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4.企业对自评价结果的声明。</w:t>
      </w:r>
    </w:p>
    <w:p>
      <w:pPr>
        <w:adjustRightInd w:val="0"/>
        <w:snapToGrid w:val="0"/>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br w:type="page"/>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numPr>
          <w:ilvl w:val="0"/>
          <w:numId w:val="0"/>
        </w:numPr>
        <w:snapToGrid w:val="0"/>
        <w:spacing w:line="360" w:lineRule="auto"/>
        <w:jc w:val="center"/>
        <w:rPr>
          <w:rFonts w:hint="eastAsia" w:ascii="方正小标宋简体" w:hAnsi="方正小标宋简体" w:eastAsia="方正小标宋简体" w:cs="方正小标宋简体"/>
          <w:b w:val="0"/>
          <w:bCs/>
          <w:sz w:val="36"/>
          <w:szCs w:val="36"/>
          <w:shd w:val="clear" w:color="auto" w:fill="FFFFFF"/>
          <w:lang w:eastAsia="zh-CN"/>
        </w:rPr>
      </w:pPr>
      <w:r>
        <w:rPr>
          <w:rFonts w:hint="eastAsia" w:ascii="方正小标宋简体" w:hAnsi="方正小标宋简体" w:eastAsia="方正小标宋简体" w:cs="方正小标宋简体"/>
          <w:b w:val="0"/>
          <w:bCs/>
          <w:sz w:val="36"/>
          <w:szCs w:val="36"/>
          <w:shd w:val="clear" w:color="auto" w:fill="FFFFFF"/>
          <w:lang w:eastAsia="zh-CN"/>
        </w:rPr>
        <w:t>×××绿色设计产品自我声明</w:t>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spacing w:line="360" w:lineRule="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本企业自愿申报绿色设计产品，并郑重声明：申报的绿色设计产品符合</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i/>
          <w:iCs/>
          <w:sz w:val="32"/>
          <w:szCs w:val="32"/>
          <w:shd w:val="clear" w:color="auto" w:fill="FFFFFF"/>
          <w:lang w:val="en-US" w:eastAsia="zh-CN"/>
        </w:rPr>
        <w:t>填写绿色设计评价标准名称</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ind w:firstLine="497" w:firstLineChars="207"/>
        <w:rPr>
          <w:rFonts w:ascii="Times New Roman" w:hAnsi="Times New Roman" w:eastAsia="仿宋_GB2312" w:cs="Times New Roman"/>
          <w:kern w:val="0"/>
          <w:sz w:val="32"/>
          <w:szCs w:val="32"/>
        </w:rPr>
      </w:pP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法人或单位负责人签字：        </w:t>
      </w:r>
    </w:p>
    <w:p>
      <w:pPr>
        <w:widowControl/>
        <w:wordWrap w:val="0"/>
        <w:jc w:val="center"/>
        <w:rPr>
          <w:rFonts w:ascii="Times New Roman" w:hAnsi="Times New Roman" w:eastAsia="仿宋_GB2312" w:cs="Times New Roman"/>
          <w:b w:val="0"/>
          <w:bCs/>
          <w:kern w:val="0"/>
          <w:sz w:val="32"/>
          <w:szCs w:val="32"/>
        </w:rPr>
      </w:pPr>
    </w:p>
    <w:p>
      <w:pPr>
        <w:widowControl/>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公</w:t>
      </w:r>
      <w:r>
        <w:rPr>
          <w:rFonts w:ascii="Times New Roman" w:hAnsi="Times New Roman" w:eastAsia="仿宋_GB2312" w:cs="Times New Roman"/>
          <w:b w:val="0"/>
          <w:bCs/>
          <w:kern w:val="0"/>
          <w:sz w:val="32"/>
          <w:szCs w:val="32"/>
        </w:rPr>
        <w:t>章）</w:t>
      </w: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日期：           </w:t>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adjustRightInd w:val="0"/>
        <w:snapToGrid w:val="0"/>
        <w:spacing w:line="360" w:lineRule="auto"/>
        <w:ind w:firstLine="640" w:firstLineChars="200"/>
        <w:rPr>
          <w:rFonts w:hint="eastAsia" w:ascii="Times New Roman" w:hAnsi="Times New Roman" w:eastAsia="黑体" w:cs="Times New Roman"/>
          <w:bCs/>
          <w:sz w:val="32"/>
          <w:szCs w:val="32"/>
          <w:lang w:eastAsia="zh-CN"/>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华文中宋" w:hAnsi="华文中宋" w:eastAsia="华文中宋"/>
          <w:sz w:val="36"/>
          <w:szCs w:val="36"/>
          <w:shd w:val="clear" w:color="auto" w:fill="FFFFFF"/>
        </w:rPr>
      </w:pPr>
      <w:r>
        <w:rPr>
          <w:rFonts w:hint="eastAsia" w:ascii="黑体" w:hAnsi="黑体" w:eastAsia="黑体" w:cs="黑体"/>
          <w:sz w:val="36"/>
          <w:szCs w:val="36"/>
          <w:shd w:val="clear" w:color="auto" w:fill="FFFFFF"/>
        </w:rPr>
        <w:t>绿色设计产品评价标准清单</w:t>
      </w:r>
    </w:p>
    <w:tbl>
      <w:tblPr>
        <w:tblStyle w:val="5"/>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583"/>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915" w:type="dxa"/>
            <w:vAlign w:val="center"/>
          </w:tcPr>
          <w:p>
            <w:pPr>
              <w:keepNext w:val="0"/>
              <w:keepLines w:val="0"/>
              <w:pageBreakBefore w:val="0"/>
              <w:widowControl/>
              <w:topLinePunct w:val="0"/>
              <w:bidi w:val="0"/>
              <w:adjustRightInd w:val="0"/>
              <w:snapToGrid/>
              <w:spacing w:line="360" w:lineRule="auto"/>
              <w:jc w:val="center"/>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序号</w:t>
            </w:r>
          </w:p>
        </w:tc>
        <w:tc>
          <w:tcPr>
            <w:tcW w:w="7583" w:type="dxa"/>
            <w:vAlign w:val="center"/>
          </w:tcPr>
          <w:p>
            <w:pPr>
              <w:keepNext w:val="0"/>
              <w:keepLines w:val="0"/>
              <w:pageBreakBefore w:val="0"/>
              <w:widowControl/>
              <w:topLinePunct w:val="0"/>
              <w:bidi w:val="0"/>
              <w:adjustRightInd w:val="0"/>
              <w:snapToGrid/>
              <w:spacing w:line="360" w:lineRule="auto"/>
              <w:jc w:val="center"/>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标准名称</w:t>
            </w:r>
          </w:p>
        </w:tc>
        <w:tc>
          <w:tcPr>
            <w:tcW w:w="5927" w:type="dxa"/>
            <w:vAlign w:val="center"/>
          </w:tcPr>
          <w:p>
            <w:pPr>
              <w:keepNext w:val="0"/>
              <w:keepLines w:val="0"/>
              <w:pageBreakBefore w:val="0"/>
              <w:widowControl/>
              <w:topLinePunct w:val="0"/>
              <w:bidi w:val="0"/>
              <w:adjustRightInd w:val="0"/>
              <w:snapToGrid/>
              <w:spacing w:line="360" w:lineRule="auto"/>
              <w:jc w:val="center"/>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w:t>
            </w:r>
          </w:p>
        </w:tc>
        <w:tc>
          <w:tcPr>
            <w:tcW w:w="7583" w:type="dxa"/>
            <w:vAlign w:val="top"/>
          </w:tcPr>
          <w:p>
            <w:pPr>
              <w:keepNext w:val="0"/>
              <w:keepLines w:val="0"/>
              <w:pageBreakBefore w:val="0"/>
              <w:widowControl/>
              <w:topLinePunct w:val="0"/>
              <w:bidi w:val="0"/>
              <w:adjustRightInd w:val="0"/>
              <w:snapToGrid/>
              <w:spacing w:line="360" w:lineRule="auto"/>
              <w:outlineLvl w:val="9"/>
              <w:rPr>
                <w:rFonts w:hint="eastAsia" w:ascii="仿宋_GB2312" w:hAnsi="Verdana" w:eastAsia="仿宋_GB2312"/>
                <w:sz w:val="24"/>
                <w:szCs w:val="24"/>
                <w:shd w:val="clear" w:color="auto" w:fill="FFFFFF"/>
              </w:rPr>
            </w:pPr>
            <w:r>
              <w:rPr>
                <w:rFonts w:hint="eastAsia" w:ascii="仿宋_GB2312" w:hAnsi="Verdana" w:eastAsia="仿宋_GB2312"/>
                <w:sz w:val="24"/>
                <w:szCs w:val="24"/>
                <w:shd w:val="clear" w:color="auto" w:fill="FFFFFF"/>
              </w:rPr>
              <w:t>《生态设计产品评价规范 第1部分：家用洗涤剂》</w:t>
            </w:r>
          </w:p>
        </w:tc>
        <w:tc>
          <w:tcPr>
            <w:tcW w:w="5927" w:type="dxa"/>
            <w:vAlign w:val="top"/>
          </w:tcPr>
          <w:p>
            <w:pPr>
              <w:keepNext w:val="0"/>
              <w:keepLines w:val="0"/>
              <w:pageBreakBefore w:val="0"/>
              <w:widowControl/>
              <w:topLinePunct w:val="0"/>
              <w:bidi w:val="0"/>
              <w:adjustRightInd w:val="0"/>
              <w:snapToGrid/>
              <w:spacing w:line="360" w:lineRule="auto"/>
              <w:outlineLvl w:val="9"/>
              <w:rPr>
                <w:rFonts w:hint="eastAsia" w:ascii="仿宋_GB2312" w:hAnsi="Verdana" w:eastAsia="仿宋_GB2312"/>
                <w:sz w:val="24"/>
                <w:szCs w:val="24"/>
                <w:shd w:val="clear" w:color="auto" w:fill="FFFFFF"/>
              </w:rPr>
            </w:pPr>
            <w:r>
              <w:rPr>
                <w:rFonts w:hint="eastAsia" w:ascii="仿宋_GB2312" w:hAnsi="Verdana" w:eastAsia="仿宋_GB2312"/>
                <w:sz w:val="24"/>
                <w:szCs w:val="24"/>
                <w:shd w:val="clear" w:color="auto" w:fill="FFFFFF"/>
              </w:rPr>
              <w:t>GB/T 32163.1-2015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2</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Verdana" w:eastAsia="仿宋_GB2312"/>
                <w:sz w:val="24"/>
                <w:szCs w:val="24"/>
                <w:shd w:val="clear" w:color="auto" w:fill="FFFFFF"/>
              </w:rPr>
              <w:t>《生态设计产品评价规范</w:t>
            </w:r>
            <w:r>
              <w:rPr>
                <w:rFonts w:ascii="仿宋_GB2312" w:hAnsi="Verdana" w:eastAsia="仿宋_GB2312"/>
                <w:sz w:val="24"/>
                <w:szCs w:val="24"/>
                <w:shd w:val="clear" w:color="auto" w:fill="FFFFFF"/>
              </w:rPr>
              <w:t xml:space="preserve"> </w:t>
            </w:r>
            <w:r>
              <w:rPr>
                <w:rFonts w:hint="eastAsia" w:ascii="仿宋_GB2312" w:hAnsi="Verdana" w:eastAsia="仿宋_GB2312"/>
                <w:sz w:val="24"/>
                <w:szCs w:val="24"/>
                <w:shd w:val="clear" w:color="auto" w:fill="FFFFFF"/>
              </w:rPr>
              <w:t>第2部分：可降解塑料》</w:t>
            </w:r>
          </w:p>
        </w:tc>
        <w:tc>
          <w:tcPr>
            <w:tcW w:w="5927"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ascii="仿宋_GB2312" w:hAnsi="Verdana" w:eastAsia="仿宋_GB2312"/>
                <w:sz w:val="24"/>
                <w:szCs w:val="24"/>
                <w:shd w:val="clear" w:color="auto" w:fill="FFFFFF"/>
              </w:rPr>
              <w:t>GB/T 32163.2-2015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3</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Verdana" w:eastAsia="仿宋_GB2312"/>
                <w:sz w:val="24"/>
                <w:szCs w:val="24"/>
                <w:shd w:val="clear" w:color="auto" w:fill="FFFFFF"/>
              </w:rPr>
              <w:t>《生态设计产品评价规范</w:t>
            </w:r>
            <w:r>
              <w:rPr>
                <w:rFonts w:ascii="仿宋_GB2312" w:hAnsi="Verdana" w:eastAsia="仿宋_GB2312"/>
                <w:sz w:val="24"/>
                <w:szCs w:val="24"/>
                <w:shd w:val="clear" w:color="auto" w:fill="FFFFFF"/>
              </w:rPr>
              <w:t xml:space="preserve"> </w:t>
            </w:r>
            <w:r>
              <w:rPr>
                <w:rFonts w:hint="eastAsia" w:ascii="仿宋_GB2312" w:hAnsi="Verdana" w:eastAsia="仿宋_GB2312"/>
                <w:sz w:val="24"/>
                <w:szCs w:val="24"/>
                <w:shd w:val="clear" w:color="auto" w:fill="FFFFFF"/>
              </w:rPr>
              <w:t>第3部分：杀虫剂》</w:t>
            </w:r>
          </w:p>
        </w:tc>
        <w:tc>
          <w:tcPr>
            <w:tcW w:w="5927"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ascii="仿宋_GB2312" w:hAnsi="Verdana" w:eastAsia="仿宋_GB2312"/>
                <w:sz w:val="24"/>
                <w:szCs w:val="24"/>
                <w:shd w:val="clear" w:color="auto" w:fill="FFFFFF"/>
              </w:rPr>
              <w:t>GB/T 32163.3-2015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4</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Verdana" w:eastAsia="仿宋_GB2312"/>
                <w:sz w:val="24"/>
                <w:szCs w:val="24"/>
                <w:shd w:val="clear" w:color="auto" w:fill="FFFFFF"/>
              </w:rPr>
              <w:t>《生态设计产品评价规范</w:t>
            </w:r>
            <w:r>
              <w:rPr>
                <w:rFonts w:ascii="仿宋_GB2312" w:hAnsi="Verdana" w:eastAsia="仿宋_GB2312"/>
                <w:sz w:val="24"/>
                <w:szCs w:val="24"/>
                <w:shd w:val="clear" w:color="auto" w:fill="FFFFFF"/>
              </w:rPr>
              <w:t xml:space="preserve"> </w:t>
            </w:r>
            <w:r>
              <w:rPr>
                <w:rFonts w:hint="eastAsia" w:ascii="仿宋_GB2312" w:hAnsi="Verdana" w:eastAsia="仿宋_GB2312"/>
                <w:sz w:val="24"/>
                <w:szCs w:val="24"/>
                <w:shd w:val="clear" w:color="auto" w:fill="FFFFFF"/>
              </w:rPr>
              <w:t>第4部分：无机轻质板材》</w:t>
            </w:r>
          </w:p>
        </w:tc>
        <w:tc>
          <w:tcPr>
            <w:tcW w:w="5927"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ascii="仿宋_GB2312" w:hAnsi="Verdana" w:eastAsia="仿宋_GB2312"/>
                <w:sz w:val="24"/>
                <w:szCs w:val="24"/>
                <w:shd w:val="clear" w:color="auto" w:fill="FFFFFF"/>
              </w:rPr>
              <w:t>GB/T 32163.4-2015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5</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房间空气调节器》</w:t>
            </w:r>
          </w:p>
        </w:tc>
        <w:tc>
          <w:tcPr>
            <w:tcW w:w="5927"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ascii="仿宋_GB2312" w:hAnsi="Times New Roman" w:eastAsia="仿宋_GB2312"/>
                <w:kern w:val="0"/>
                <w:sz w:val="24"/>
                <w:szCs w:val="24"/>
                <w:shd w:val="clear" w:color="auto" w:fill="FFFFFF"/>
              </w:rPr>
              <w:t>T/CAGP 0001-2016</w:t>
            </w:r>
            <w:r>
              <w:rPr>
                <w:rFonts w:hint="eastAsia" w:ascii="仿宋_GB2312" w:hAnsi="Times New Roman" w:eastAsia="仿宋_GB2312"/>
                <w:kern w:val="0"/>
                <w:sz w:val="24"/>
                <w:szCs w:val="24"/>
                <w:shd w:val="clear" w:color="auto" w:fill="FFFFFF"/>
              </w:rPr>
              <w:t>，</w:t>
            </w:r>
            <w:r>
              <w:rPr>
                <w:rFonts w:ascii="仿宋_GB2312" w:hAnsi="Times New Roman" w:eastAsia="仿宋_GB2312"/>
                <w:kern w:val="0"/>
                <w:sz w:val="24"/>
                <w:szCs w:val="24"/>
                <w:shd w:val="clear" w:color="auto" w:fill="FFFFFF"/>
              </w:rPr>
              <w:t>T/CAB  0001-2016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6</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电动洗衣机》</w:t>
            </w:r>
          </w:p>
        </w:tc>
        <w:tc>
          <w:tcPr>
            <w:tcW w:w="5927" w:type="dxa"/>
            <w:vAlign w:val="top"/>
          </w:tcPr>
          <w:p>
            <w:pPr>
              <w:pStyle w:val="8"/>
              <w:keepNext w:val="0"/>
              <w:keepLines w:val="0"/>
              <w:pageBreakBefore w:val="0"/>
              <w:topLinePunct w:val="0"/>
              <w:bidi w:val="0"/>
              <w:snapToGrid/>
              <w:spacing w:before="0"/>
              <w:ind w:right="235"/>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0002-2016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7</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家用电冰箱》</w:t>
            </w:r>
          </w:p>
        </w:tc>
        <w:tc>
          <w:tcPr>
            <w:tcW w:w="5927" w:type="dxa"/>
            <w:vAlign w:val="top"/>
          </w:tcPr>
          <w:p>
            <w:pPr>
              <w:pStyle w:val="8"/>
              <w:keepNext w:val="0"/>
              <w:keepLines w:val="0"/>
              <w:pageBreakBefore w:val="0"/>
              <w:topLinePunct w:val="0"/>
              <w:bidi w:val="0"/>
              <w:snapToGrid/>
              <w:spacing w:before="0"/>
              <w:ind w:right="16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0003-2016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8</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吸油烟机》</w:t>
            </w:r>
          </w:p>
        </w:tc>
        <w:tc>
          <w:tcPr>
            <w:tcW w:w="5927" w:type="dxa"/>
            <w:vAlign w:val="top"/>
          </w:tcPr>
          <w:p>
            <w:pPr>
              <w:pStyle w:val="8"/>
              <w:keepNext w:val="0"/>
              <w:keepLines w:val="0"/>
              <w:pageBreakBefore w:val="0"/>
              <w:wordWrap w:val="0"/>
              <w:topLinePunct w:val="0"/>
              <w:bidi w:val="0"/>
              <w:snapToGrid/>
              <w:spacing w:before="0"/>
              <w:ind w:right="16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0004-2016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9</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家用电磁灶》</w:t>
            </w:r>
          </w:p>
        </w:tc>
        <w:tc>
          <w:tcPr>
            <w:tcW w:w="5927" w:type="dxa"/>
            <w:vAlign w:val="top"/>
          </w:tcPr>
          <w:p>
            <w:pPr>
              <w:pStyle w:val="8"/>
              <w:keepNext w:val="0"/>
              <w:keepLines w:val="0"/>
              <w:pageBreakBefore w:val="0"/>
              <w:wordWrap w:val="0"/>
              <w:topLinePunct w:val="0"/>
              <w:bidi w:val="0"/>
              <w:snapToGrid/>
              <w:spacing w:before="0"/>
              <w:ind w:right="16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0005-2016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10</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电饭锅》</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0006-2016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11</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储水式电热水器》</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0007-2016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12</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空气净化器》</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0008-2016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13</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卫生陶瓷》</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0009-2016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0009-2016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14</w:t>
            </w:r>
          </w:p>
        </w:tc>
        <w:tc>
          <w:tcPr>
            <w:tcW w:w="7583" w:type="dxa"/>
            <w:vAlign w:val="top"/>
          </w:tcPr>
          <w:p>
            <w:pPr>
              <w:keepNext w:val="0"/>
              <w:keepLines w:val="0"/>
              <w:pageBreakBefore w:val="0"/>
              <w:widowControl/>
              <w:topLinePunct w:val="0"/>
              <w:bidi w:val="0"/>
              <w:adjustRightInd w:val="0"/>
              <w:snapToGrid/>
              <w:spacing w:line="360" w:lineRule="auto"/>
              <w:jc w:val="left"/>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纯净水处理器》</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0010-2016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0010-2016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15</w:t>
            </w:r>
          </w:p>
        </w:tc>
        <w:tc>
          <w:tcPr>
            <w:tcW w:w="7583" w:type="dxa"/>
            <w:vAlign w:val="top"/>
          </w:tcPr>
          <w:p>
            <w:pPr>
              <w:keepNext w:val="0"/>
              <w:keepLines w:val="0"/>
              <w:pageBreakBefore w:val="0"/>
              <w:widowControl/>
              <w:topLinePunct w:val="0"/>
              <w:bidi w:val="0"/>
              <w:adjustRightInd w:val="0"/>
              <w:snapToGrid/>
              <w:spacing w:line="360" w:lineRule="auto"/>
              <w:jc w:val="left"/>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木塑型材》</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0011-2016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0011-2016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16</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砌块》</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0012-2016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0012-2016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top"/>
          </w:tcPr>
          <w:p>
            <w:pPr>
              <w:pStyle w:val="7"/>
              <w:keepNext w:val="0"/>
              <w:keepLines w:val="0"/>
              <w:pageBreakBefore w:val="0"/>
              <w:widowControl/>
              <w:numPr>
                <w:ilvl w:val="0"/>
                <w:numId w:val="0"/>
              </w:numPr>
              <w:topLinePunct w:val="0"/>
              <w:bidi w:val="0"/>
              <w:adjustRightInd w:val="0"/>
              <w:snapToGrid/>
              <w:spacing w:line="360" w:lineRule="auto"/>
              <w:ind w:leftChars="0"/>
              <w:jc w:val="center"/>
              <w:outlineLvl w:val="9"/>
              <w:rPr>
                <w:rFonts w:hint="eastAsia" w:ascii="仿宋_GB2312" w:hAnsi="Times New Roman" w:eastAsia="仿宋_GB2312"/>
                <w:kern w:val="0"/>
                <w:sz w:val="24"/>
                <w:szCs w:val="24"/>
                <w:shd w:val="clear" w:color="auto" w:fill="FFFFFF"/>
                <w:lang w:val="en-US" w:eastAsia="zh-CN"/>
              </w:rPr>
            </w:pPr>
            <w:r>
              <w:rPr>
                <w:rFonts w:hint="eastAsia" w:ascii="仿宋_GB2312" w:hAnsi="Times New Roman" w:eastAsia="仿宋_GB2312"/>
                <w:kern w:val="0"/>
                <w:sz w:val="24"/>
                <w:szCs w:val="24"/>
                <w:shd w:val="clear" w:color="auto" w:fill="FFFFFF"/>
                <w:lang w:val="en-US" w:eastAsia="zh-CN"/>
              </w:rPr>
              <w:t>17</w:t>
            </w:r>
          </w:p>
        </w:tc>
        <w:tc>
          <w:tcPr>
            <w:tcW w:w="7583" w:type="dxa"/>
            <w:vAlign w:val="top"/>
          </w:tcPr>
          <w:p>
            <w:pPr>
              <w:keepNext w:val="0"/>
              <w:keepLines w:val="0"/>
              <w:pageBreakBefore w:val="0"/>
              <w:widowControl/>
              <w:topLinePunct w:val="0"/>
              <w:bidi w:val="0"/>
              <w:adjustRightInd w:val="0"/>
              <w:snapToGrid/>
              <w:spacing w:line="360" w:lineRule="auto"/>
              <w:outlineLvl w:val="9"/>
              <w:rPr>
                <w:rFonts w:ascii="仿宋_GB2312" w:hAnsi="Times New Roman" w:eastAsia="仿宋_GB2312"/>
                <w:kern w:val="0"/>
                <w:sz w:val="24"/>
                <w:szCs w:val="24"/>
                <w:shd w:val="clear" w:color="auto" w:fill="FFFFFF"/>
              </w:rPr>
            </w:pPr>
            <w:r>
              <w:rPr>
                <w:rFonts w:hint="eastAsia" w:ascii="仿宋_GB2312" w:hAnsi="Times New Roman" w:eastAsia="仿宋_GB2312"/>
                <w:kern w:val="0"/>
                <w:sz w:val="24"/>
                <w:szCs w:val="24"/>
                <w:shd w:val="clear" w:color="auto" w:fill="FFFFFF"/>
              </w:rPr>
              <w:t>《绿色设计产品评价技术规范</w:t>
            </w:r>
            <w:r>
              <w:rPr>
                <w:rFonts w:ascii="仿宋_GB2312" w:hAnsi="Times New Roman" w:eastAsia="仿宋_GB2312"/>
                <w:kern w:val="0"/>
                <w:sz w:val="24"/>
                <w:szCs w:val="24"/>
                <w:shd w:val="clear" w:color="auto" w:fill="FFFFFF"/>
              </w:rPr>
              <w:t xml:space="preserve"> </w:t>
            </w:r>
            <w:r>
              <w:rPr>
                <w:rFonts w:hint="eastAsia" w:ascii="仿宋_GB2312" w:hAnsi="Times New Roman" w:eastAsia="仿宋_GB2312"/>
                <w:kern w:val="0"/>
                <w:sz w:val="24"/>
                <w:szCs w:val="24"/>
                <w:shd w:val="clear" w:color="auto" w:fill="FFFFFF"/>
              </w:rPr>
              <w:t>陶瓷砖》</w:t>
            </w:r>
          </w:p>
        </w:tc>
        <w:tc>
          <w:tcPr>
            <w:tcW w:w="5927" w:type="dxa"/>
            <w:vAlign w:val="top"/>
          </w:tcPr>
          <w:p>
            <w:pPr>
              <w:pStyle w:val="8"/>
              <w:keepNext w:val="0"/>
              <w:keepLines w:val="0"/>
              <w:pageBreakBefore w:val="0"/>
              <w:wordWrap w:val="0"/>
              <w:topLinePunct w:val="0"/>
              <w:bidi w:val="0"/>
              <w:snapToGrid/>
              <w:spacing w:before="0"/>
              <w:jc w:val="left"/>
              <w:outlineLvl w:val="9"/>
              <w:rPr>
                <w:rFonts w:ascii="仿宋_GB2312" w:eastAsia="仿宋_GB2312"/>
                <w:sz w:val="24"/>
                <w:szCs w:val="24"/>
                <w:shd w:val="clear" w:color="auto" w:fill="FFFFFF"/>
              </w:rPr>
            </w:pPr>
            <w:r>
              <w:rPr>
                <w:rFonts w:ascii="仿宋_GB2312" w:eastAsia="仿宋_GB2312"/>
                <w:sz w:val="24"/>
                <w:szCs w:val="24"/>
                <w:shd w:val="clear" w:color="auto" w:fill="FFFFFF"/>
              </w:rPr>
              <w:t>T/CAGP 0013-2016</w:t>
            </w:r>
            <w:r>
              <w:rPr>
                <w:rFonts w:hint="eastAsia" w:ascii="仿宋_GB2312" w:eastAsia="仿宋_GB2312"/>
                <w:sz w:val="24"/>
                <w:szCs w:val="24"/>
                <w:shd w:val="clear" w:color="auto" w:fill="FFFFFF"/>
              </w:rPr>
              <w:t>，</w:t>
            </w:r>
            <w:r>
              <w:rPr>
                <w:rFonts w:ascii="仿宋_GB2312" w:eastAsia="仿宋_GB2312"/>
                <w:sz w:val="24"/>
                <w:szCs w:val="24"/>
                <w:shd w:val="clear" w:color="auto" w:fill="FFFFFF"/>
              </w:rPr>
              <w:t>T/CAB  0013-2016</w:t>
            </w:r>
          </w:p>
        </w:tc>
      </w:tr>
    </w:tbl>
    <w:p>
      <w:pPr/>
    </w:p>
    <w:p>
      <w:pPr>
        <w:numPr>
          <w:ilvl w:val="0"/>
          <w:numId w:val="0"/>
        </w:numPr>
        <w:snapToGrid w:val="0"/>
        <w:spacing w:line="360" w:lineRule="auto"/>
        <w:rPr>
          <w:rFonts w:hint="eastAsia" w:ascii="Times New Roman" w:hAnsi="Times New Roman" w:eastAsia="黑体" w:cs="Times New Roman"/>
          <w:bCs/>
          <w:sz w:val="32"/>
          <w:szCs w:val="32"/>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0B45852"/>
    <w:rsid w:val="081F1A6E"/>
    <w:rsid w:val="096C38C8"/>
    <w:rsid w:val="14106A5E"/>
    <w:rsid w:val="1D0950CD"/>
    <w:rsid w:val="1E3B741C"/>
    <w:rsid w:val="1E9217B7"/>
    <w:rsid w:val="1FD910FA"/>
    <w:rsid w:val="321C55E0"/>
    <w:rsid w:val="34A93DC6"/>
    <w:rsid w:val="36A6405A"/>
    <w:rsid w:val="3E242CB3"/>
    <w:rsid w:val="52CB03E8"/>
    <w:rsid w:val="57266709"/>
    <w:rsid w:val="57501C20"/>
    <w:rsid w:val="5AC16EF5"/>
    <w:rsid w:val="63600718"/>
    <w:rsid w:val="676E37C1"/>
    <w:rsid w:val="694D5BF2"/>
    <w:rsid w:val="75B96404"/>
    <w:rsid w:val="7BD970C9"/>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2"/>
    <w:basedOn w:val="1"/>
    <w:qFormat/>
    <w:uiPriority w:val="99"/>
    <w:pPr>
      <w:ind w:firstLine="420" w:firstLineChars="200"/>
    </w:pPr>
  </w:style>
  <w:style w:type="paragraph" w:customStyle="1" w:styleId="7">
    <w:name w:val="_Style 2"/>
    <w:basedOn w:val="1"/>
    <w:qFormat/>
    <w:uiPriority w:val="34"/>
    <w:pPr>
      <w:ind w:firstLine="420" w:firstLineChars="200"/>
    </w:pPr>
  </w:style>
  <w:style w:type="paragraph" w:customStyle="1" w:styleId="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黑体"/>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王银生/iitha</cp:lastModifiedBy>
  <cp:lastPrinted>2017-02-16T10:20:00Z</cp:lastPrinted>
  <dcterms:modified xsi:type="dcterms:W3CDTF">2017-03-09T08:19:07Z</dcterms:modified>
  <dc:title>附件3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