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A123E">
      <w:pPr>
        <w:pStyle w:val="1"/>
        <w:spacing w:before="0" w:after="0" w:line="360" w:lineRule="auto"/>
        <w:rPr>
          <w:rFonts w:ascii="黑体" w:eastAsia="黑体" w:hAnsi="黑体" w:cs="仿宋_GB2312" w:hint="eastAsia"/>
          <w:b w:val="0"/>
          <w:bCs w:val="0"/>
          <w:kern w:val="0"/>
          <w:sz w:val="32"/>
          <w:szCs w:val="32"/>
        </w:rPr>
      </w:pPr>
      <w:bookmarkStart w:id="0" w:name="_Toc456731287"/>
      <w:r>
        <w:rPr>
          <w:rFonts w:ascii="黑体" w:eastAsia="黑体" w:hAnsi="黑体" w:cs="仿宋_GB2312" w:hint="eastAsia"/>
          <w:b w:val="0"/>
          <w:bCs w:val="0"/>
          <w:kern w:val="0"/>
          <w:sz w:val="32"/>
          <w:szCs w:val="32"/>
        </w:rPr>
        <w:t>附件</w:t>
      </w:r>
      <w:bookmarkEnd w:id="0"/>
    </w:p>
    <w:p w:rsidR="00000000" w:rsidRDefault="00AA123E">
      <w:pPr>
        <w:rPr>
          <w:rFonts w:hint="eastAsia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                                  </w:t>
      </w: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/>
          <w:bCs/>
          <w:sz w:val="44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/>
          <w:bCs/>
          <w:sz w:val="44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/>
          <w:bCs/>
          <w:sz w:val="44"/>
          <w:szCs w:val="24"/>
        </w:rPr>
      </w:pPr>
    </w:p>
    <w:p w:rsidR="00000000" w:rsidRDefault="00AA123E">
      <w:pPr>
        <w:spacing w:line="360" w:lineRule="auto"/>
        <w:jc w:val="center"/>
        <w:rPr>
          <w:rFonts w:ascii="黑体" w:eastAsia="黑体" w:hAnsi="黑体" w:cs="黑体" w:hint="eastAsia"/>
          <w:bCs/>
          <w:sz w:val="44"/>
          <w:szCs w:val="24"/>
        </w:rPr>
      </w:pPr>
      <w:r>
        <w:rPr>
          <w:rFonts w:ascii="黑体" w:eastAsia="黑体" w:hAnsi="黑体" w:cs="黑体" w:hint="eastAsia"/>
          <w:bCs/>
          <w:sz w:val="44"/>
          <w:szCs w:val="24"/>
        </w:rPr>
        <w:t>工业节能与绿色发展评价中心申请报告</w:t>
      </w: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48"/>
          <w:szCs w:val="24"/>
        </w:rPr>
      </w:pPr>
    </w:p>
    <w:p w:rsidR="00000000" w:rsidRDefault="00AA123E">
      <w:pPr>
        <w:spacing w:line="360" w:lineRule="auto"/>
        <w:ind w:firstLineChars="454" w:firstLine="1453"/>
        <w:jc w:val="left"/>
        <w:rPr>
          <w:rFonts w:ascii="仿宋GB2012" w:eastAsia="仿宋GB20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ind w:firstLineChars="787" w:firstLine="2518"/>
        <w:jc w:val="left"/>
        <w:rPr>
          <w:rFonts w:ascii="仿宋_GB2312" w:eastAsia="仿宋_GB2312" w:hAnsi="仿宋_GB2312" w:cs="仿宋_GB2312" w:hint="eastAsia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>申请单位（公章）：</w:t>
      </w:r>
    </w:p>
    <w:p w:rsidR="00000000" w:rsidRDefault="00AA123E">
      <w:pPr>
        <w:spacing w:line="360" w:lineRule="auto"/>
        <w:ind w:firstLineChars="787" w:firstLine="2518"/>
        <w:jc w:val="left"/>
        <w:rPr>
          <w:rFonts w:ascii="仿宋_GB2312" w:eastAsia="仿宋_GB2312" w:hAnsi="仿宋_GB2312" w:cs="仿宋_GB2312" w:hint="eastAsia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 xml:space="preserve">           </w:t>
      </w:r>
    </w:p>
    <w:p w:rsidR="00000000" w:rsidRDefault="00AA123E">
      <w:pPr>
        <w:spacing w:line="360" w:lineRule="auto"/>
        <w:ind w:firstLineChars="787" w:firstLine="2518"/>
        <w:jc w:val="left"/>
        <w:rPr>
          <w:rFonts w:ascii="仿宋_GB2312" w:eastAsia="仿宋_GB2312" w:hAnsi="仿宋_GB2312" w:cs="仿宋_GB2312" w:hint="eastAsia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>所属（省区市、行业）：</w:t>
      </w:r>
    </w:p>
    <w:p w:rsidR="00000000" w:rsidRDefault="00AA123E">
      <w:pPr>
        <w:spacing w:line="360" w:lineRule="auto"/>
        <w:ind w:firstLineChars="454" w:firstLine="1453"/>
        <w:jc w:val="left"/>
        <w:rPr>
          <w:rFonts w:ascii="楷体_GB2312" w:eastAsia="楷体_GB23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ind w:firstLineChars="454" w:firstLine="1453"/>
        <w:jc w:val="left"/>
        <w:rPr>
          <w:rFonts w:ascii="楷体_GB2312" w:eastAsia="楷体_GB23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ind w:firstLineChars="454" w:firstLine="1453"/>
        <w:jc w:val="left"/>
        <w:rPr>
          <w:rFonts w:ascii="楷体_GB2312" w:eastAsia="楷体_GB23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jc w:val="center"/>
        <w:rPr>
          <w:rFonts w:ascii="楷体_GB2312" w:eastAsia="楷体_GB23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jc w:val="center"/>
        <w:rPr>
          <w:rFonts w:ascii="仿宋_GB2312" w:eastAsia="仿宋_GB2312" w:hAnsi="仿宋_GB2312" w:cs="仿宋_GB2312" w:hint="eastAsia"/>
          <w:bCs/>
          <w:sz w:val="32"/>
          <w:szCs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24"/>
        </w:rPr>
        <w:t>2017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24"/>
        </w:rPr>
        <w:t>日</w:t>
      </w:r>
    </w:p>
    <w:p w:rsidR="00000000" w:rsidRDefault="00AA123E">
      <w:pPr>
        <w:spacing w:line="360" w:lineRule="auto"/>
        <w:jc w:val="center"/>
        <w:rPr>
          <w:rFonts w:ascii="仿宋GB2012" w:eastAsia="仿宋GB2012" w:hAnsi="Times New Roman" w:hint="eastAsia"/>
          <w:bCs/>
          <w:sz w:val="32"/>
          <w:szCs w:val="24"/>
        </w:rPr>
      </w:pPr>
    </w:p>
    <w:p w:rsidR="00000000" w:rsidRDefault="00AA123E">
      <w:pPr>
        <w:spacing w:line="360" w:lineRule="auto"/>
        <w:jc w:val="center"/>
        <w:rPr>
          <w:rFonts w:ascii="黑体" w:eastAsia="黑体" w:hAnsi="黑体" w:hint="eastAsia"/>
          <w:bCs/>
          <w:sz w:val="36"/>
          <w:szCs w:val="24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000000" w:rsidRDefault="00AA123E">
      <w:pPr>
        <w:spacing w:line="360" w:lineRule="auto"/>
        <w:jc w:val="center"/>
        <w:rPr>
          <w:rFonts w:ascii="黑体" w:eastAsia="黑体" w:hAnsi="黑体" w:hint="eastAsia"/>
          <w:bCs/>
          <w:sz w:val="36"/>
          <w:szCs w:val="24"/>
        </w:rPr>
      </w:pPr>
    </w:p>
    <w:p w:rsidR="00000000" w:rsidRDefault="00AA123E">
      <w:pPr>
        <w:spacing w:line="360" w:lineRule="auto"/>
        <w:jc w:val="center"/>
        <w:rPr>
          <w:rFonts w:ascii="黑体" w:eastAsia="黑体" w:hAnsi="黑体" w:hint="eastAsia"/>
          <w:bCs/>
          <w:sz w:val="36"/>
          <w:szCs w:val="24"/>
        </w:rPr>
      </w:pPr>
      <w:r>
        <w:rPr>
          <w:rFonts w:ascii="黑体" w:eastAsia="黑体" w:hAnsi="黑体" w:hint="eastAsia"/>
          <w:bCs/>
          <w:sz w:val="36"/>
          <w:szCs w:val="24"/>
        </w:rPr>
        <w:t>申请单位基本情况表</w:t>
      </w:r>
    </w:p>
    <w:tbl>
      <w:tblPr>
        <w:tblpPr w:leftFromText="180" w:rightFromText="180" w:vertAnchor="text" w:horzAnchor="page" w:tblpX="1822" w:tblpY="37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6"/>
        <w:gridCol w:w="1261"/>
        <w:gridCol w:w="1176"/>
        <w:gridCol w:w="1635"/>
        <w:gridCol w:w="2550"/>
      </w:tblGrid>
      <w:tr w:rsidR="00000000">
        <w:trPr>
          <w:trHeight w:val="76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968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归口管理</w:t>
            </w:r>
          </w:p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0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0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60"/>
        </w:trPr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2319"/>
        </w:trPr>
        <w:tc>
          <w:tcPr>
            <w:tcW w:w="33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4806"/>
        </w:trPr>
        <w:tc>
          <w:tcPr>
            <w:tcW w:w="33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单位概况及业务范围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3359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材料真实性</w:t>
            </w:r>
          </w:p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123E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我单位郑重承诺：本次申报评价中心所提交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的相关信息、数据及证明材料均真实、准确，并承担因材料虚假引起的全部责任。</w:t>
            </w: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特此承诺。</w:t>
            </w:r>
          </w:p>
          <w:p w:rsidR="00000000" w:rsidRDefault="00AA123E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</w:t>
            </w:r>
          </w:p>
          <w:p w:rsidR="00000000" w:rsidRDefault="00AA123E">
            <w:pPr>
              <w:tabs>
                <w:tab w:val="left" w:pos="1350"/>
              </w:tabs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</w:p>
          <w:p w:rsidR="00000000" w:rsidRDefault="00AA123E">
            <w:pPr>
              <w:tabs>
                <w:tab w:val="left" w:pos="1350"/>
              </w:tabs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tabs>
                <w:tab w:val="left" w:pos="1350"/>
              </w:tabs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tabs>
                <w:tab w:val="left" w:pos="1350"/>
              </w:tabs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</w:p>
          <w:p w:rsidR="00000000" w:rsidRDefault="00AA123E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法定代表人签字（盖章）：</w:t>
            </w:r>
          </w:p>
          <w:p w:rsidR="00000000" w:rsidRDefault="00AA123E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:rsidR="00000000" w:rsidRDefault="00AA123E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月　日</w:t>
            </w:r>
          </w:p>
        </w:tc>
      </w:tr>
      <w:tr w:rsidR="00000000">
        <w:trPr>
          <w:trHeight w:val="724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</w:t>
            </w: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AA123E">
            <w:pPr>
              <w:spacing w:line="360" w:lineRule="auto"/>
              <w:ind w:firstLineChars="1200" w:firstLine="33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（推荐单位公章）</w:t>
            </w:r>
          </w:p>
          <w:p w:rsidR="00000000" w:rsidRDefault="00AA123E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　　月　　日</w:t>
            </w:r>
          </w:p>
          <w:p w:rsidR="00000000" w:rsidRDefault="00AA123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  <w:p w:rsidR="00000000" w:rsidRDefault="00AA123E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8"/>
              </w:rPr>
            </w:pPr>
          </w:p>
        </w:tc>
      </w:tr>
    </w:tbl>
    <w:p w:rsidR="00000000" w:rsidRDefault="00AA123E">
      <w:pPr>
        <w:rPr>
          <w:rFonts w:hint="eastAsia"/>
        </w:rPr>
      </w:pPr>
    </w:p>
    <w:p w:rsidR="00000000" w:rsidRDefault="00AA123E">
      <w:pPr>
        <w:widowControl/>
        <w:spacing w:line="360" w:lineRule="auto"/>
        <w:jc w:val="center"/>
        <w:rPr>
          <w:rFonts w:ascii="黑体" w:eastAsia="黑体" w:hAnsi="黑体" w:cs="黑体"/>
          <w:sz w:val="36"/>
          <w:szCs w:val="36"/>
        </w:rPr>
        <w:sectPr w:rsidR="00000000">
          <w:footerReference w:type="defaul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000000" w:rsidRDefault="00AA123E">
      <w:pPr>
        <w:widowControl/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000000" w:rsidRDefault="00AA123E">
      <w:pPr>
        <w:widowControl/>
        <w:snapToGrid w:val="0"/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工业节能与绿色发展评价中心</w:t>
      </w:r>
      <w:r>
        <w:rPr>
          <w:rFonts w:ascii="黑体" w:eastAsia="黑体" w:hAnsi="黑体" w:cs="黑体" w:hint="eastAsia"/>
          <w:sz w:val="36"/>
          <w:szCs w:val="36"/>
        </w:rPr>
        <w:t>建设方案（格式）</w:t>
      </w:r>
    </w:p>
    <w:p w:rsidR="00000000" w:rsidRDefault="00AA123E">
      <w:pPr>
        <w:widowControl/>
        <w:snapToGrid w:val="0"/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000000" w:rsidRDefault="00AA123E" w:rsidP="006C104C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仿宋" w:hint="eastAsia"/>
          <w:b/>
          <w:bCs/>
          <w:sz w:val="32"/>
          <w:szCs w:val="32"/>
        </w:rPr>
        <w:t>（一）单位简介。</w:t>
      </w:r>
      <w:r>
        <w:rPr>
          <w:rFonts w:ascii="仿宋_GB2312" w:eastAsia="仿宋_GB2312" w:hAnsi="仿宋_GB2312" w:cs="仿宋" w:hint="eastAsia"/>
          <w:sz w:val="32"/>
          <w:szCs w:val="32"/>
        </w:rPr>
        <w:t>申报单位业务范围、</w:t>
      </w:r>
      <w:r>
        <w:rPr>
          <w:rFonts w:ascii="Times New Roman" w:eastAsia="仿宋_GB2312" w:hAnsi="Times New Roman"/>
          <w:sz w:val="32"/>
          <w:szCs w:val="32"/>
        </w:rPr>
        <w:t>人员、技术</w:t>
      </w:r>
      <w:r>
        <w:rPr>
          <w:rFonts w:ascii="Times New Roman" w:eastAsia="仿宋_GB2312" w:hAnsi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/>
          <w:sz w:val="32"/>
          <w:szCs w:val="32"/>
        </w:rPr>
        <w:t>、设备、资质、基础设施</w:t>
      </w:r>
      <w:r>
        <w:rPr>
          <w:rFonts w:ascii="Times New Roman" w:eastAsia="仿宋_GB2312" w:hAnsi="Times New Roman" w:hint="eastAsia"/>
          <w:sz w:val="32"/>
          <w:szCs w:val="32"/>
        </w:rPr>
        <w:t>、获得荣誉等基本情况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AA123E" w:rsidP="006C104C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_GB2312" w:cs="仿宋" w:hint="eastAsia"/>
          <w:sz w:val="32"/>
          <w:szCs w:val="32"/>
        </w:rPr>
      </w:pPr>
      <w:r>
        <w:rPr>
          <w:rFonts w:ascii="楷体_GB2312" w:eastAsia="楷体_GB2312" w:hAnsi="楷体_GB2312" w:cs="仿宋" w:hint="eastAsia"/>
          <w:b/>
          <w:bCs/>
          <w:sz w:val="32"/>
          <w:szCs w:val="32"/>
        </w:rPr>
        <w:t>（二）工作基础。</w:t>
      </w:r>
      <w:r>
        <w:rPr>
          <w:rFonts w:ascii="Times New Roman" w:eastAsia="仿宋_GB2312" w:hAnsi="Times New Roman" w:hint="eastAsia"/>
          <w:sz w:val="32"/>
          <w:szCs w:val="32"/>
        </w:rPr>
        <w:t>近年来在</w:t>
      </w:r>
      <w:r>
        <w:rPr>
          <w:rFonts w:ascii="Times New Roman" w:eastAsia="仿宋_GB2312" w:hAnsi="Times New Roman"/>
          <w:sz w:val="32"/>
          <w:szCs w:val="32"/>
        </w:rPr>
        <w:t>工业节能与绿色发展</w:t>
      </w:r>
      <w:r>
        <w:rPr>
          <w:rFonts w:ascii="Times New Roman" w:eastAsia="仿宋_GB2312" w:hAnsi="Times New Roman" w:hint="eastAsia"/>
          <w:sz w:val="32"/>
          <w:szCs w:val="32"/>
        </w:rPr>
        <w:t>领域开展的</w:t>
      </w:r>
      <w:r>
        <w:rPr>
          <w:rFonts w:ascii="Times New Roman" w:eastAsia="仿宋_GB2312" w:hAnsi="Times New Roman"/>
          <w:sz w:val="32"/>
          <w:szCs w:val="32"/>
        </w:rPr>
        <w:t>能源审计、</w:t>
      </w:r>
      <w:r>
        <w:rPr>
          <w:rFonts w:ascii="Times New Roman" w:eastAsia="仿宋_GB2312" w:hAnsi="Times New Roman" w:hint="eastAsia"/>
          <w:sz w:val="32"/>
          <w:szCs w:val="32"/>
        </w:rPr>
        <w:t>能效</w:t>
      </w:r>
      <w:r>
        <w:rPr>
          <w:rFonts w:ascii="Times New Roman" w:eastAsia="仿宋_GB2312" w:hAnsi="Times New Roman"/>
          <w:sz w:val="32"/>
          <w:szCs w:val="32"/>
        </w:rPr>
        <w:t>评估、</w:t>
      </w:r>
      <w:r>
        <w:rPr>
          <w:rFonts w:ascii="Times New Roman" w:eastAsia="仿宋_GB2312" w:hAnsi="Times New Roman" w:hint="eastAsia"/>
          <w:sz w:val="32"/>
          <w:szCs w:val="32"/>
        </w:rPr>
        <w:t>能源</w:t>
      </w:r>
      <w:r>
        <w:rPr>
          <w:rFonts w:ascii="Times New Roman" w:eastAsia="仿宋_GB2312" w:hAnsi="Times New Roman"/>
          <w:sz w:val="32"/>
          <w:szCs w:val="32"/>
        </w:rPr>
        <w:t>检测</w:t>
      </w:r>
      <w:r>
        <w:rPr>
          <w:rFonts w:ascii="Times New Roman" w:eastAsia="仿宋_GB2312" w:hAnsi="Times New Roman" w:hint="eastAsia"/>
          <w:sz w:val="32"/>
          <w:szCs w:val="32"/>
        </w:rPr>
        <w:t>，环保技术咨询、清洁生产审核和资源综合利用咨询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工作情况，以及承担的政策研究、标准和规范编制等工作情况。可结合典型案例说明工作内容和效果。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_GB2312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二、总体设想</w:t>
      </w:r>
    </w:p>
    <w:p w:rsidR="00000000" w:rsidRDefault="00AA123E" w:rsidP="006C104C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_GB2312" w:eastAsia="楷体_GB2312" w:hAnsi="楷体_GB2312" w:cs="仿宋" w:hint="eastAsia"/>
          <w:b/>
          <w:bCs/>
          <w:sz w:val="32"/>
          <w:szCs w:val="32"/>
        </w:rPr>
        <w:t>（一）总体思路。</w:t>
      </w:r>
      <w:r>
        <w:rPr>
          <w:rFonts w:ascii="仿宋_GB2312" w:eastAsia="仿宋_GB2312" w:hAnsi="仿宋_GB2312" w:cs="仿宋" w:hint="eastAsia"/>
          <w:sz w:val="32"/>
          <w:szCs w:val="32"/>
        </w:rPr>
        <w:t>根据行业（或所在区域）工业节能与绿色发展的形势和需要，结合自身支撑工业节能与绿色发展服务的工作基础，说明相关工作思路。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_GB2312" w:cs="仿宋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（二）建设目标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" w:hint="eastAsia"/>
          <w:sz w:val="32"/>
          <w:szCs w:val="32"/>
        </w:rPr>
        <w:t>围绕研究水平、服务能力、运行管理、业务发展等方面，说明评价中心的建设目标，并提出具体指标。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三、建设内容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_GB2312" w:cs="仿宋" w:hint="eastAsia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lastRenderedPageBreak/>
        <w:t>说明评价中心人员队伍、仪器设备、基础设施等硬件建设内容，以及人才培养、技术能力建设、管理运行机制、宣传培训等软件建设内容。</w:t>
      </w:r>
      <w:r>
        <w:rPr>
          <w:rFonts w:ascii="仿宋_GB2312" w:eastAsia="仿宋_GB2312" w:hAnsi="仿宋_GB2312" w:cs="仿宋" w:hint="eastAsia"/>
          <w:sz w:val="32"/>
          <w:szCs w:val="32"/>
        </w:rPr>
        <w:t xml:space="preserve"> 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仿宋_GB2312" w:cs="仿宋" w:hint="eastAsia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t>说明评价中心建设工作的组织管理方式以及人力资源、配套资金和设施设备投入等。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 xml:space="preserve">   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黑体" w:hAnsi="Times New Roman"/>
          <w:sz w:val="32"/>
          <w:szCs w:val="32"/>
        </w:rPr>
        <w:t>五、证明材料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GB2012" w:hAnsi="Times New Roman"/>
          <w:szCs w:val="24"/>
        </w:rPr>
      </w:pPr>
      <w:r>
        <w:rPr>
          <w:rFonts w:ascii="Times New Roman" w:eastAsia="仿宋_GB2312" w:hAnsi="Times New Roman"/>
          <w:sz w:val="32"/>
          <w:szCs w:val="32"/>
        </w:rPr>
        <w:t>此部分包括但不限于以下材料：</w:t>
      </w:r>
      <w:r>
        <w:rPr>
          <w:rFonts w:ascii="Times New Roman" w:eastAsia="仿宋GB2012" w:hAnsi="Times New Roman"/>
          <w:szCs w:val="24"/>
        </w:rPr>
        <w:t xml:space="preserve">      </w:t>
      </w:r>
    </w:p>
    <w:p w:rsidR="00000000" w:rsidRDefault="00AA123E">
      <w:pPr>
        <w:pStyle w:val="NormalWeb"/>
        <w:widowControl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单位法人证书及营业执照复印件；</w:t>
      </w:r>
    </w:p>
    <w:p w:rsidR="00000000" w:rsidRDefault="00AA123E">
      <w:pPr>
        <w:widowControl/>
        <w:snapToGrid w:val="0"/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2.</w:t>
      </w:r>
      <w:r>
        <w:rPr>
          <w:rFonts w:ascii="Times New Roman" w:eastAsia="仿宋_GB2312" w:hAnsi="Times New Roman"/>
          <w:kern w:val="0"/>
          <w:sz w:val="32"/>
          <w:szCs w:val="32"/>
        </w:rPr>
        <w:t>财务管理、资产管理制度文本复印件；</w:t>
      </w:r>
    </w:p>
    <w:p w:rsidR="00000000" w:rsidRDefault="00AA123E">
      <w:pPr>
        <w:widowControl/>
        <w:snapToGrid w:val="0"/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3.</w:t>
      </w:r>
      <w:r>
        <w:rPr>
          <w:rFonts w:ascii="Times New Roman" w:eastAsia="仿宋_GB2312" w:hAnsi="Times New Roman"/>
          <w:kern w:val="0"/>
          <w:sz w:val="32"/>
          <w:szCs w:val="32"/>
        </w:rPr>
        <w:t>单位专职人员名单及其学历、专</w:t>
      </w:r>
      <w:r>
        <w:rPr>
          <w:rFonts w:ascii="Times New Roman" w:eastAsia="仿宋_GB2312" w:hAnsi="Times New Roman"/>
          <w:kern w:val="0"/>
          <w:sz w:val="32"/>
          <w:szCs w:val="32"/>
        </w:rPr>
        <w:t>业、职称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、社会保险缴纳</w:t>
      </w:r>
      <w:r>
        <w:rPr>
          <w:rFonts w:ascii="Times New Roman" w:eastAsia="仿宋_GB2312" w:hAnsi="Times New Roman"/>
          <w:kern w:val="0"/>
          <w:sz w:val="32"/>
          <w:szCs w:val="32"/>
        </w:rPr>
        <w:t>等证明材料复印件；</w:t>
      </w:r>
    </w:p>
    <w:p w:rsidR="00000000" w:rsidRDefault="00AA123E">
      <w:pPr>
        <w:widowControl/>
        <w:snapToGrid w:val="0"/>
        <w:spacing w:line="360" w:lineRule="auto"/>
        <w:ind w:firstLine="630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kern w:val="0"/>
          <w:sz w:val="32"/>
          <w:szCs w:val="32"/>
        </w:rPr>
        <w:t>取得的有关节能与绿色发展服务业务资质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证明材料</w:t>
      </w:r>
      <w:r>
        <w:rPr>
          <w:rFonts w:ascii="Times New Roman" w:eastAsia="仿宋_GB2312" w:hAnsi="Times New Roman"/>
          <w:kern w:val="0"/>
          <w:sz w:val="32"/>
          <w:szCs w:val="32"/>
        </w:rPr>
        <w:t>复印件（如国家实验室认可、计量认证等）；</w:t>
      </w:r>
    </w:p>
    <w:p w:rsidR="00000000" w:rsidRDefault="00AA123E">
      <w:pPr>
        <w:widowControl/>
        <w:snapToGrid w:val="0"/>
        <w:spacing w:line="360" w:lineRule="auto"/>
        <w:ind w:firstLine="63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为客户所开展的</w:t>
      </w:r>
      <w:r>
        <w:rPr>
          <w:rFonts w:ascii="Times New Roman" w:eastAsia="仿宋_GB2312" w:hAnsi="Times New Roman"/>
          <w:sz w:val="32"/>
          <w:szCs w:val="32"/>
        </w:rPr>
        <w:t>能源审计、</w:t>
      </w:r>
      <w:r>
        <w:rPr>
          <w:rFonts w:ascii="Times New Roman" w:eastAsia="仿宋_GB2312" w:hAnsi="Times New Roman" w:hint="eastAsia"/>
          <w:sz w:val="32"/>
          <w:szCs w:val="32"/>
        </w:rPr>
        <w:t>能效</w:t>
      </w:r>
      <w:r>
        <w:rPr>
          <w:rFonts w:ascii="Times New Roman" w:eastAsia="仿宋_GB2312" w:hAnsi="Times New Roman"/>
          <w:sz w:val="32"/>
          <w:szCs w:val="32"/>
        </w:rPr>
        <w:t>评估、</w:t>
      </w:r>
      <w:r>
        <w:rPr>
          <w:rFonts w:ascii="Times New Roman" w:eastAsia="仿宋_GB2312" w:hAnsi="Times New Roman" w:hint="eastAsia"/>
          <w:sz w:val="32"/>
          <w:szCs w:val="32"/>
        </w:rPr>
        <w:t>能源</w:t>
      </w:r>
      <w:r>
        <w:rPr>
          <w:rFonts w:ascii="Times New Roman" w:eastAsia="仿宋_GB2312" w:hAnsi="Times New Roman"/>
          <w:sz w:val="32"/>
          <w:szCs w:val="32"/>
        </w:rPr>
        <w:t>检测</w:t>
      </w:r>
      <w:r>
        <w:rPr>
          <w:rFonts w:ascii="Times New Roman" w:eastAsia="仿宋_GB2312" w:hAnsi="Times New Roman" w:hint="eastAsia"/>
          <w:sz w:val="32"/>
          <w:szCs w:val="32"/>
        </w:rPr>
        <w:t>，环保技术咨询、清洁生产审核，资源综合利用咨询</w:t>
      </w:r>
      <w:r>
        <w:rPr>
          <w:rFonts w:ascii="Times New Roman" w:eastAsia="仿宋_GB2312" w:hAnsi="Times New Roman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工作有关证明材料，包括有关报告（具有代表性的，不少于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份）及相对应的客户满意度反馈证明；</w:t>
      </w:r>
    </w:p>
    <w:p w:rsidR="00000000" w:rsidRDefault="00AA123E">
      <w:pPr>
        <w:widowControl/>
        <w:snapToGrid w:val="0"/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kern w:val="0"/>
          <w:sz w:val="32"/>
          <w:szCs w:val="32"/>
        </w:rPr>
        <w:t>承担过的省部级及以上科研课题（项目）材料复印件；</w:t>
      </w:r>
    </w:p>
    <w:p w:rsidR="00000000" w:rsidRDefault="00AA123E">
      <w:pPr>
        <w:widowControl/>
        <w:snapToGrid w:val="0"/>
        <w:spacing w:line="360" w:lineRule="auto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kern w:val="0"/>
          <w:sz w:val="32"/>
          <w:szCs w:val="32"/>
        </w:rPr>
        <w:t>获得的省部级及以上奖励或荣誉称号有关证明材料复印件等。</w:t>
      </w:r>
    </w:p>
    <w:p w:rsidR="00AA123E" w:rsidRDefault="00AA123E">
      <w:pPr>
        <w:tabs>
          <w:tab w:val="left" w:pos="5407"/>
        </w:tabs>
        <w:jc w:val="left"/>
        <w:rPr>
          <w:rFonts w:hint="eastAsia"/>
        </w:rPr>
      </w:pPr>
      <w:r>
        <w:rPr>
          <w:rFonts w:ascii="Times New Roman" w:hAnsi="Times New Roman"/>
        </w:rPr>
        <w:tab/>
      </w:r>
    </w:p>
    <w:sectPr w:rsidR="00AA123E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3E" w:rsidRDefault="00AA123E" w:rsidP="00EB5DC4">
      <w:r>
        <w:separator/>
      </w:r>
    </w:p>
  </w:endnote>
  <w:endnote w:type="continuationSeparator" w:id="0">
    <w:p w:rsidR="00AA123E" w:rsidRDefault="00AA123E" w:rsidP="00EB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GB20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4C" w:rsidRDefault="006C10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2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23E">
    <w:pPr>
      <w:pStyle w:val="a5"/>
      <w:jc w:val="center"/>
      <w:rPr>
        <w:rFonts w:ascii="Times New Roman" w:hAnsi="Times New Roman"/>
        <w:sz w:val="21"/>
      </w:rPr>
    </w:pPr>
  </w:p>
  <w:p w:rsidR="00000000" w:rsidRDefault="00AA123E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23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0;margin-top:0;width:2in;height:2in;z-index:25165721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AA123E">
                <w:pPr>
                  <w:snapToGri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6C104C" w:rsidRPr="006C104C">
                  <w:rPr>
                    <w:noProof/>
                    <w:lang w:val="zh-CN"/>
                  </w:rPr>
                  <w:t>4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123E">
    <w:pPr>
      <w:pStyle w:val="a5"/>
      <w:jc w:val="center"/>
      <w:rPr>
        <w:rFonts w:ascii="Times New Roman" w:hAnsi="Times New Roman"/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00000" w:rsidRDefault="00AA123E">
                <w:pPr>
                  <w:pStyle w:val="a5"/>
                  <w:jc w:val="center"/>
                </w:pPr>
                <w:r>
                  <w:rPr>
                    <w:rFonts w:ascii="Times New Roman" w:hAnsi="Times New Roman"/>
                    <w:sz w:val="21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</w:rPr>
                  <w:instrText>PAGE   \* MERGEFORMAT</w:instrText>
                </w:r>
                <w:r>
                  <w:rPr>
                    <w:rFonts w:ascii="Times New Roman" w:hAnsi="Times New Roman"/>
                    <w:sz w:val="21"/>
                  </w:rPr>
                  <w:fldChar w:fldCharType="separate"/>
                </w:r>
                <w:r w:rsidR="006C104C" w:rsidRPr="006C104C">
                  <w:rPr>
                    <w:noProof/>
                    <w:lang w:val="zh-CN"/>
                  </w:rPr>
                  <w:t>3</w:t>
                </w:r>
                <w:r>
                  <w:rPr>
                    <w:rFonts w:ascii="Times New Roman" w:hAnsi="Times New Roman"/>
                    <w:sz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AA12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3E" w:rsidRDefault="00AA123E" w:rsidP="00EB5DC4">
      <w:r>
        <w:separator/>
      </w:r>
    </w:p>
  </w:footnote>
  <w:footnote w:type="continuationSeparator" w:id="0">
    <w:p w:rsidR="00AA123E" w:rsidRDefault="00AA123E" w:rsidP="00EB5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4C" w:rsidRDefault="006C10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4C" w:rsidRDefault="006C104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4C" w:rsidRDefault="006C104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6C104C"/>
    <w:rsid w:val="00AA123E"/>
    <w:rsid w:val="19282EE2"/>
    <w:rsid w:val="50994D71"/>
    <w:rsid w:val="5EDA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customStyle="1" w:styleId="Char">
    <w:name w:val="页眉 Char"/>
    <w:link w:val="a4"/>
    <w:rPr>
      <w:sz w:val="18"/>
      <w:szCs w:val="18"/>
    </w:rPr>
  </w:style>
  <w:style w:type="character" w:customStyle="1" w:styleId="Char0">
    <w:name w:val="页脚 Char"/>
    <w:link w:val="a5"/>
    <w:rPr>
      <w:sz w:val="18"/>
      <w:szCs w:val="18"/>
    </w:rPr>
  </w:style>
  <w:style w:type="character" w:customStyle="1" w:styleId="Char1">
    <w:name w:val="题注 Char"/>
    <w:link w:val="a6"/>
    <w:rPr>
      <w:rFonts w:ascii="Calibri Light" w:eastAsia="黑体" w:hAnsi="Calibri Light"/>
      <w:kern w:val="2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rPr>
      <w:color w:val="0000FF"/>
      <w:u w:val="single"/>
    </w:rPr>
  </w:style>
  <w:style w:type="character" w:customStyle="1" w:styleId="5Char">
    <w:name w:val="标题 5 Char"/>
    <w:link w:val="5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annotation reference"/>
    <w:rPr>
      <w:sz w:val="21"/>
      <w:szCs w:val="21"/>
    </w:rPr>
  </w:style>
  <w:style w:type="character" w:customStyle="1" w:styleId="Char2">
    <w:name w:val="文档结构图 Char"/>
    <w:link w:val="aa"/>
    <w:rPr>
      <w:rFonts w:ascii="宋体" w:eastAsia="宋体" w:hAnsi="Calibri" w:cs="Times New Roman"/>
      <w:sz w:val="18"/>
      <w:szCs w:val="18"/>
    </w:rPr>
  </w:style>
  <w:style w:type="character" w:customStyle="1" w:styleId="Char3">
    <w:name w:val="日期 Char"/>
    <w:link w:val="ab"/>
    <w:rPr>
      <w:kern w:val="2"/>
      <w:sz w:val="21"/>
      <w:szCs w:val="22"/>
    </w:rPr>
  </w:style>
  <w:style w:type="character" w:customStyle="1" w:styleId="Char4">
    <w:name w:val="脚注文本 Char"/>
    <w:link w:val="ac"/>
    <w:rPr>
      <w:kern w:val="2"/>
      <w:sz w:val="18"/>
      <w:szCs w:val="18"/>
    </w:rPr>
  </w:style>
  <w:style w:type="character" w:customStyle="1" w:styleId="4Char">
    <w:name w:val="标题 4 Char"/>
    <w:link w:val="4"/>
    <w:rPr>
      <w:rFonts w:ascii="Cambria" w:eastAsia="宋体" w:hAnsi="Cambria" w:cs="Times New Roman"/>
      <w:b/>
      <w:bCs/>
      <w:sz w:val="28"/>
      <w:szCs w:val="28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5">
    <w:name w:val="批注文字 Char"/>
    <w:link w:val="ad"/>
    <w:rPr>
      <w:rFonts w:ascii="Calibri" w:eastAsia="宋体" w:hAnsi="Calibri" w:cs="Times New Roman"/>
    </w:rPr>
  </w:style>
  <w:style w:type="character" w:customStyle="1" w:styleId="Char6">
    <w:name w:val="批注主题 Char"/>
    <w:link w:val="ae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7">
    <w:name w:val="批注框文本 Char"/>
    <w:link w:val="af"/>
    <w:rPr>
      <w:rFonts w:ascii="Calibri" w:eastAsia="宋体" w:hAnsi="Calibri" w:cs="Times New Roman"/>
      <w:sz w:val="18"/>
      <w:szCs w:val="18"/>
    </w:rPr>
  </w:style>
  <w:style w:type="character" w:customStyle="1" w:styleId="Char8">
    <w:name w:val="标题 Char"/>
    <w:link w:val="af0"/>
    <w:rPr>
      <w:rFonts w:ascii="Cambria" w:eastAsia="宋体" w:hAnsi="Cambria" w:cs="Times New Roman"/>
      <w:b/>
      <w:bCs/>
      <w:sz w:val="32"/>
      <w:szCs w:val="32"/>
    </w:rPr>
  </w:style>
  <w:style w:type="paragraph" w:styleId="ae">
    <w:name w:val="annotation subject"/>
    <w:basedOn w:val="ad"/>
    <w:next w:val="ad"/>
    <w:link w:val="Char6"/>
    <w:rPr>
      <w:b/>
      <w:bCs/>
    </w:rPr>
  </w:style>
  <w:style w:type="paragraph" w:styleId="ad">
    <w:name w:val="annotation text"/>
    <w:basedOn w:val="a"/>
    <w:link w:val="Char5"/>
    <w:pPr>
      <w:jc w:val="left"/>
    </w:pPr>
  </w:style>
  <w:style w:type="paragraph" w:styleId="a6">
    <w:name w:val="caption"/>
    <w:basedOn w:val="a"/>
    <w:next w:val="a"/>
    <w:link w:val="Char1"/>
    <w:qFormat/>
    <w:rPr>
      <w:rFonts w:ascii="Calibri Light" w:eastAsia="黑体" w:hAnsi="Calibri Light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link w:val="Char2"/>
    <w:rPr>
      <w:rFonts w:ascii="宋体"/>
      <w:sz w:val="18"/>
      <w:szCs w:val="18"/>
    </w:rPr>
  </w:style>
  <w:style w:type="paragraph" w:styleId="30">
    <w:name w:val="toc 3"/>
    <w:basedOn w:val="a"/>
    <w:next w:val="a"/>
    <w:pPr>
      <w:ind w:leftChars="400" w:left="840"/>
    </w:pPr>
  </w:style>
  <w:style w:type="paragraph" w:customStyle="1" w:styleId="NormalWe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Date"/>
    <w:basedOn w:val="a"/>
    <w:next w:val="a"/>
    <w:link w:val="Char3"/>
    <w:pPr>
      <w:ind w:leftChars="2500" w:left="100"/>
    </w:pPr>
  </w:style>
  <w:style w:type="paragraph" w:styleId="af">
    <w:name w:val="Balloon Text"/>
    <w:basedOn w:val="a"/>
    <w:link w:val="Char7"/>
    <w:rPr>
      <w:sz w:val="18"/>
      <w:szCs w:val="18"/>
    </w:rPr>
  </w:style>
  <w:style w:type="paragraph" w:styleId="20">
    <w:name w:val="toc 2"/>
    <w:basedOn w:val="a"/>
    <w:next w:val="a"/>
    <w:pPr>
      <w:ind w:leftChars="200" w:left="420"/>
    </w:p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">
    <w:name w:val="TOC Heading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0">
    <w:name w:val="toc 1"/>
    <w:basedOn w:val="a"/>
    <w:next w:val="a"/>
  </w:style>
  <w:style w:type="paragraph" w:styleId="ac">
    <w:name w:val="footnote text"/>
    <w:basedOn w:val="a"/>
    <w:link w:val="Char4"/>
    <w:pPr>
      <w:snapToGrid w:val="0"/>
      <w:jc w:val="left"/>
    </w:pPr>
    <w:rPr>
      <w:sz w:val="18"/>
      <w:szCs w:val="18"/>
    </w:rPr>
  </w:style>
  <w:style w:type="paragraph" w:styleId="af1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Revision"/>
    <w:rPr>
      <w:kern w:val="2"/>
      <w:sz w:val="21"/>
      <w:szCs w:val="22"/>
    </w:rPr>
  </w:style>
  <w:style w:type="paragraph" w:styleId="af3">
    <w:name w:val="List Paragraph"/>
    <w:basedOn w:val="a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1063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xjjdx</dc:creator>
  <cp:lastModifiedBy>Administrator</cp:lastModifiedBy>
  <cp:revision>2</cp:revision>
  <cp:lastPrinted>2017-06-30T01:46:00Z</cp:lastPrinted>
  <dcterms:created xsi:type="dcterms:W3CDTF">2017-08-23T08:54:00Z</dcterms:created>
  <dcterms:modified xsi:type="dcterms:W3CDTF">2017-08-23T08:54:00Z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