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201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濮阳市工业和信息化委员会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社会信用体系建设工作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　201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濮阳市工信委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将继续按照国务院《社会信用体系建设规划纲要（2014—2020年）》的要求，全面贯彻落实《2016年濮阳市社会信用体系建设工作要点》，推动全市社会信用体系建设再上新台阶。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按照中央、省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统一部署，围绕打造“信用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濮阳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”，以健全信用制度和标准体系、形成覆盖全市的公共信用信息平台为基础，推进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工信领域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信用建设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建立守信激励和失信惩戒机制为支撑，切实提高全社会诚信意识和信用水平，努力营造经济社会发展良好信用环境。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（一）建立完善社会信用体系建设工作机制。制定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诚信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，确保我委社会信用体系建设工作的扎实推进。按照各级要求，积极参与市公共信用信息平台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建设、工信领域信用信息记录等工作，引导企业诚信经营，树立风清气正的社会风气。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pacing w:val="-8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  <w:u w:val="none"/>
        </w:rPr>
        <w:t>）加强</w:t>
      </w: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  <w:u w:val="none"/>
          <w:lang w:eastAsia="zh-CN"/>
        </w:rPr>
        <w:t>诚信宣传教育</w:t>
      </w: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  <w:u w:val="none"/>
          <w:lang w:eastAsia="zh-CN"/>
        </w:rPr>
        <w:t>依托惠企政策进千企等活动，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u w:val="none"/>
        </w:rPr>
        <w:t>持续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u w:val="none"/>
          <w:lang w:eastAsia="zh-CN"/>
        </w:rPr>
        <w:t>开展信用宣传，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u w:val="none"/>
        </w:rPr>
        <w:t>聚焦守法诚信，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u w:val="none"/>
          <w:lang w:eastAsia="zh-CN"/>
        </w:rPr>
        <w:t>宣讲信用政策，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u w:val="none"/>
        </w:rPr>
        <w:t>推动构建新型政商关系；引导年轻企业厂长经理，做合格的中国特色社会主义事业建设者；围绕坚定信心，服务非公有制经济发展，引导他们诚实守信、守法经营，树立品牌意识，增强对社会的信誉，自觉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  <w:u w:val="none"/>
          <w:lang w:eastAsia="zh-CN"/>
        </w:rPr>
        <w:t>持续完善失信惩戒体系建设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u w:val="none"/>
        </w:rPr>
        <w:t>进一步褒扬诚信、征戒失信，推动形成良好的社会舆论。认真落实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u w:val="none"/>
        </w:rPr>
        <w:t>“红黑榜”发布制度，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u w:val="none"/>
        </w:rPr>
        <w:t>对违法违规失信企业，严格实施“黑名单”制度，提高其失信违法成本，对“违法、违规、失信”经营主体始终保持高压严管态势，推动形成诚信为本、操守为重、守信光荣、失信可耻的市场环境。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《2016年濮阳市社会信用体系建设工作要点》，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明确工作思路，落实各项举措，将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社会信用体系建设工作与履行职责工作相结合，相互促进、相互提高。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（二）建立完善工作协调机制。市工信委定期召开工作协调会议，听取、通报工作进展情况，及时研究解决社会信用体系建设中的重大问题。各科室之间要密切配合，加强协作，主动作为，形成工作合力。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（三）发挥社会组织作用。充分发挥行业协会在社会信用体系建设中的作用，搭建行业性的信用信息平台，建立行业性的失信约束机制，促进行业和企业信用自律，加强诚信品牌建设，不断提升公信力。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2016年4月29日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048F3"/>
    <w:rsid w:val="01595AEC"/>
    <w:rsid w:val="111763E1"/>
    <w:rsid w:val="13F74A40"/>
    <w:rsid w:val="152C6CF7"/>
    <w:rsid w:val="2001172A"/>
    <w:rsid w:val="26185FAE"/>
    <w:rsid w:val="29ED3462"/>
    <w:rsid w:val="3A10074A"/>
    <w:rsid w:val="3F1048F3"/>
    <w:rsid w:val="41757D61"/>
    <w:rsid w:val="51340784"/>
    <w:rsid w:val="54CD4AD2"/>
    <w:rsid w:val="5CB633DA"/>
    <w:rsid w:val="67C6270F"/>
    <w:rsid w:val="724A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200"/>
      <w:jc w:val="both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2021-05-11T07:49:00Z</dcterms:created>
  <dc:creator>犹豫就会败北</dc:creator>
  <cp:lastModifiedBy>犹豫就会败北</cp:lastModifiedBy>
  <dcterms:modified xsi:type="dcterms:W3CDTF">2021-05-13T03:40:49Z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BDD953C511F5488FAC3646EF57159AEA</vt:lpwstr>
  </property>
</Properties>
</file>