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ascii="Times New Roman" w:hAnsi="Times New Roman" w:eastAsia="方正小标宋简体" w:cs="Times New Roman"/>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860" w:lineRule="exact"/>
        <w:ind w:firstLine="632"/>
        <w:textAlignment w:val="auto"/>
        <w:rPr>
          <w:rFonts w:ascii="Times New Roman" w:hAnsi="Times New Roman" w:cs="Times New Roman"/>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860" w:lineRule="exact"/>
        <w:ind w:firstLine="0" w:firstLineChars="0"/>
        <w:jc w:val="center"/>
        <w:textAlignment w:val="auto"/>
        <w:rPr>
          <w:rFonts w:hint="eastAsia" w:ascii="Times New Roman" w:hAnsi="Times New Roman" w:eastAsia="方正小标宋简体" w:cs="Times New Roman"/>
          <w:color w:val="000000" w:themeColor="text1"/>
          <w:sz w:val="52"/>
          <w:szCs w:val="52"/>
          <w:lang w:eastAsia="zh-CN"/>
          <w14:textFill>
            <w14:solidFill>
              <w14:schemeClr w14:val="tx1"/>
            </w14:solidFill>
          </w14:textFill>
        </w:rPr>
      </w:pPr>
      <w:r>
        <w:rPr>
          <w:rFonts w:ascii="Times New Roman" w:hAnsi="Times New Roman" w:eastAsia="方正小标宋简体" w:cs="Times New Roman"/>
          <w:color w:val="000000" w:themeColor="text1"/>
          <w:sz w:val="52"/>
          <w:szCs w:val="52"/>
          <w14:textFill>
            <w14:solidFill>
              <w14:schemeClr w14:val="tx1"/>
            </w14:solidFill>
          </w14:textFill>
        </w:rPr>
        <w:t>濮阳市“十四五”制造业高质量发展规划</w:t>
      </w:r>
    </w:p>
    <w:p>
      <w:pPr>
        <w:keepNext w:val="0"/>
        <w:keepLines w:val="0"/>
        <w:pageBreakBefore w:val="0"/>
        <w:widowControl w:val="0"/>
        <w:kinsoku/>
        <w:wordWrap/>
        <w:overflowPunct/>
        <w:topLinePunct w:val="0"/>
        <w:autoSpaceDE/>
        <w:autoSpaceDN/>
        <w:bidi w:val="0"/>
        <w:adjustRightInd/>
        <w:snapToGrid/>
        <w:spacing w:before="292" w:beforeLines="50" w:line="640" w:lineRule="exact"/>
        <w:jc w:val="center"/>
        <w:textAlignment w:val="auto"/>
        <w:rPr>
          <w:rFonts w:hint="eastAsia" w:eastAsia="方正小标宋简体"/>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草案</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w:t>
      </w:r>
    </w:p>
    <w:p>
      <w:pPr>
        <w:pStyle w:val="2"/>
        <w:ind w:firstLine="0" w:firstLineChars="0"/>
        <w:jc w:val="center"/>
        <w:rPr>
          <w:rFonts w:ascii="Times New Roman" w:hAnsi="Times New Roman" w:eastAsia="方正小标宋简体" w:cs="Times New Roman"/>
          <w:color w:val="000000" w:themeColor="text1"/>
          <w:sz w:val="44"/>
          <w:szCs w:val="44"/>
          <w14:textFill>
            <w14:solidFill>
              <w14:schemeClr w14:val="tx1"/>
            </w14:solidFill>
          </w14:textFill>
        </w:rPr>
      </w:pPr>
    </w:p>
    <w:p>
      <w:pPr>
        <w:rPr>
          <w:rFonts w:ascii="Times New Roman" w:hAnsi="Times New Roman" w:eastAsia="方正小标宋简体" w:cs="Times New Roman"/>
          <w:color w:val="000000" w:themeColor="text1"/>
          <w:sz w:val="44"/>
          <w:szCs w:val="44"/>
          <w14:textFill>
            <w14:solidFill>
              <w14:schemeClr w14:val="tx1"/>
            </w14:solidFill>
          </w14:textFill>
        </w:rPr>
      </w:pPr>
    </w:p>
    <w:p>
      <w:pPr>
        <w:pStyle w:val="22"/>
        <w:rPr>
          <w:rFonts w:ascii="Times New Roman" w:hAnsi="Times New Roman" w:eastAsia="方正小标宋简体" w:cs="Times New Roman"/>
          <w:color w:val="000000" w:themeColor="text1"/>
          <w:sz w:val="44"/>
          <w:szCs w:val="44"/>
          <w14:textFill>
            <w14:solidFill>
              <w14:schemeClr w14:val="tx1"/>
            </w14:solidFill>
          </w14:textFill>
        </w:rPr>
      </w:pPr>
    </w:p>
    <w:p>
      <w:pPr>
        <w:pStyle w:val="22"/>
        <w:rPr>
          <w:rFonts w:ascii="Times New Roman" w:hAnsi="Times New Roman" w:eastAsia="方正小标宋简体" w:cs="Times New Roman"/>
          <w:color w:val="000000" w:themeColor="text1"/>
          <w:sz w:val="44"/>
          <w:szCs w:val="44"/>
          <w14:textFill>
            <w14:solidFill>
              <w14:schemeClr w14:val="tx1"/>
            </w14:solidFill>
          </w14:textFill>
        </w:rPr>
      </w:pPr>
    </w:p>
    <w:p>
      <w:pPr>
        <w:pStyle w:val="22"/>
        <w:rPr>
          <w:rFonts w:ascii="Times New Roman" w:hAnsi="Times New Roman" w:eastAsia="方正小标宋简体" w:cs="Times New Roman"/>
          <w:color w:val="000000" w:themeColor="text1"/>
          <w:sz w:val="44"/>
          <w:szCs w:val="44"/>
          <w14:textFill>
            <w14:solidFill>
              <w14:schemeClr w14:val="tx1"/>
            </w14:solidFill>
          </w14:textFill>
        </w:rPr>
      </w:pPr>
    </w:p>
    <w:p>
      <w:pPr>
        <w:jc w:val="center"/>
        <w:rPr>
          <w:rFonts w:ascii="Times New Roman" w:hAnsi="Times New Roman" w:eastAsia="方正小标宋简体" w:cs="Times New Roman"/>
          <w:color w:val="000000" w:themeColor="text1"/>
          <w:sz w:val="44"/>
          <w:szCs w:val="44"/>
          <w14:textFill>
            <w14:solidFill>
              <w14:schemeClr w14:val="tx1"/>
            </w14:solidFill>
          </w14:textFill>
        </w:rPr>
      </w:pPr>
    </w:p>
    <w:p>
      <w:pPr>
        <w:pStyle w:val="2"/>
        <w:ind w:firstLine="0" w:firstLineChars="0"/>
        <w:jc w:val="center"/>
        <w:rPr>
          <w:rFonts w:ascii="Times New Roman" w:hAnsi="Times New Roman" w:eastAsia="方正小标宋简体" w:cs="Times New Roman"/>
          <w:color w:val="000000" w:themeColor="text1"/>
          <w:sz w:val="44"/>
          <w:szCs w:val="44"/>
          <w14:textFill>
            <w14:solidFill>
              <w14:schemeClr w14:val="tx1"/>
            </w14:solidFill>
          </w14:textFill>
        </w:rPr>
      </w:pPr>
    </w:p>
    <w:p>
      <w:pPr>
        <w:pStyle w:val="2"/>
        <w:ind w:firstLine="0" w:firstLineChars="0"/>
        <w:jc w:val="center"/>
        <w:rPr>
          <w:rFonts w:ascii="Times New Roman" w:hAnsi="Times New Roman" w:eastAsia="方正小标宋简体" w:cs="Times New Roman"/>
          <w:color w:val="000000" w:themeColor="text1"/>
          <w:sz w:val="40"/>
          <w:szCs w:val="40"/>
          <w14:textFill>
            <w14:solidFill>
              <w14:schemeClr w14:val="tx1"/>
            </w14:solidFill>
          </w14:textFill>
        </w:rPr>
      </w:pPr>
    </w:p>
    <w:p>
      <w:pPr>
        <w:rPr>
          <w:rFonts w:ascii="Times New Roman" w:hAnsi="Times New Roman" w:eastAsia="方正小标宋简体" w:cs="Times New Roman"/>
          <w:color w:val="000000" w:themeColor="text1"/>
          <w:sz w:val="40"/>
          <w:szCs w:val="40"/>
          <w14:textFill>
            <w14:solidFill>
              <w14:schemeClr w14:val="tx1"/>
            </w14:solidFill>
          </w14:textFill>
        </w:rPr>
      </w:pPr>
    </w:p>
    <w:p>
      <w:pPr>
        <w:pStyle w:val="2"/>
        <w:ind w:firstLine="792"/>
        <w:rPr>
          <w:rFonts w:ascii="Times New Roman" w:hAnsi="Times New Roman" w:eastAsia="方正小标宋简体" w:cs="Times New Roman"/>
          <w:color w:val="000000" w:themeColor="text1"/>
          <w:sz w:val="40"/>
          <w:szCs w:val="40"/>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sz w:val="44"/>
          <w:szCs w:val="44"/>
          <w14:textFill>
            <w14:solidFill>
              <w14:schemeClr w14:val="tx1"/>
            </w14:solidFill>
          </w14:textFill>
        </w:rPr>
      </w:pPr>
      <w:r>
        <w:rPr>
          <w:rFonts w:ascii="Times New Roman" w:hAnsi="Times New Roman" w:eastAsia="楷体_GB2312" w:cs="Times New Roman"/>
          <w:color w:val="000000" w:themeColor="text1"/>
          <w:sz w:val="44"/>
          <w:szCs w:val="44"/>
          <w14:textFill>
            <w14:solidFill>
              <w14:schemeClr w14:val="tx1"/>
            </w14:solidFill>
          </w14:textFill>
        </w:rPr>
        <w:t>濮阳市工业和信息化局</w:t>
      </w:r>
    </w:p>
    <w:p>
      <w:pPr>
        <w:pStyle w:val="2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楷体_GB2312" w:cs="Times New Roman"/>
          <w:bCs w:val="0"/>
          <w:color w:val="000000" w:themeColor="text1"/>
          <w:kern w:val="2"/>
          <w:sz w:val="44"/>
          <w:szCs w:val="44"/>
          <w:lang w:val="en-US" w:eastAsia="zh-CN" w:bidi="ar-SA"/>
          <w14:textFill>
            <w14:solidFill>
              <w14:schemeClr w14:val="tx1"/>
            </w14:solidFill>
          </w14:textFill>
        </w:rPr>
        <w:sectPr>
          <w:footerReference r:id="rId3" w:type="default"/>
          <w:pgSz w:w="11906" w:h="16838"/>
          <w:pgMar w:top="2098" w:right="1474" w:bottom="1984" w:left="1474" w:header="851" w:footer="1587" w:gutter="113"/>
          <w:pgNumType w:fmt="decimal"/>
          <w:cols w:space="0" w:num="1"/>
          <w:docGrid w:type="linesAndChars" w:linePitch="579" w:charSpace="-842"/>
        </w:sectPr>
      </w:pPr>
      <w:r>
        <w:rPr>
          <w:rFonts w:hint="eastAsia" w:ascii="Times New Roman" w:hAnsi="Times New Roman" w:eastAsia="楷体_GB2312" w:cs="Times New Roman"/>
          <w:bCs w:val="0"/>
          <w:color w:val="000000" w:themeColor="text1"/>
          <w:kern w:val="2"/>
          <w:sz w:val="44"/>
          <w:szCs w:val="44"/>
          <w:lang w:val="en-US" w:eastAsia="zh-CN" w:bidi="ar-SA"/>
          <w14:textFill>
            <w14:solidFill>
              <w14:schemeClr w14:val="tx1"/>
            </w14:solidFill>
          </w14:textFill>
        </w:rPr>
        <w:t>2021年12月</w:t>
      </w:r>
    </w:p>
    <w:p>
      <w:pPr>
        <w:jc w:val="center"/>
        <w:rPr>
          <w:rFonts w:ascii="Times New Roman" w:hAnsi="Times New Roman" w:cs="Times New Roman"/>
          <w:color w:val="000000" w:themeColor="text1"/>
          <w14:textFill>
            <w14:solidFill>
              <w14:schemeClr w14:val="tx1"/>
            </w14:solidFill>
          </w14:textFill>
        </w:rPr>
        <w:sectPr>
          <w:footerReference r:id="rId4" w:type="default"/>
          <w:pgSz w:w="11906" w:h="16838"/>
          <w:pgMar w:top="2098" w:right="1474" w:bottom="1984" w:left="1474" w:header="851" w:footer="1587" w:gutter="113"/>
          <w:pgNumType w:fmt="decimal" w:start="1"/>
          <w:cols w:space="0" w:num="1"/>
          <w:docGrid w:type="linesAndChars" w:linePitch="579" w:charSpace="-842"/>
        </w:sectPr>
      </w:pPr>
    </w:p>
    <w:p>
      <w:pPr>
        <w:pStyle w:val="5"/>
        <w:ind w:firstLine="0" w:firstLineChars="0"/>
        <w:jc w:val="center"/>
        <w:rPr>
          <w:rFonts w:ascii="Times New Roman" w:hAnsi="Times New Roman" w:cs="Times New Roman"/>
          <w:color w:val="000000" w:themeColor="text1"/>
          <w:sz w:val="44"/>
          <w:szCs w:val="44"/>
          <w14:textFill>
            <w14:solidFill>
              <w14:schemeClr w14:val="tx1"/>
            </w14:solidFill>
          </w14:textFill>
        </w:rPr>
      </w:pPr>
      <w:bookmarkStart w:id="0" w:name="_Toc10975"/>
      <w:bookmarkStart w:id="1" w:name="_Toc24432"/>
      <w:bookmarkStart w:id="2" w:name="_Toc18333"/>
      <w:bookmarkStart w:id="3" w:name="_Toc62834767"/>
      <w:bookmarkStart w:id="4" w:name="_Toc22362"/>
      <w:bookmarkStart w:id="5" w:name="_Toc12499"/>
      <w:bookmarkStart w:id="6" w:name="_Toc27674"/>
      <w:bookmarkStart w:id="7" w:name="_Toc4555"/>
      <w:bookmarkStart w:id="8" w:name="_Toc28450"/>
      <w:bookmarkStart w:id="9" w:name="_Toc27114"/>
      <w:bookmarkStart w:id="10" w:name="_Toc3710"/>
      <w:bookmarkStart w:id="11" w:name="_Toc27941"/>
      <w:bookmarkStart w:id="12" w:name="_Toc5946"/>
      <w:bookmarkStart w:id="13" w:name="_Toc4320"/>
      <w:bookmarkStart w:id="14" w:name="_Toc5500"/>
      <w:r>
        <w:rPr>
          <w:rFonts w:ascii="Times New Roman" w:hAnsi="Times New Roman" w:cs="Times New Roman"/>
          <w:color w:val="000000" w:themeColor="text1"/>
          <w:sz w:val="44"/>
          <w:szCs w:val="44"/>
          <w14:textFill>
            <w14:solidFill>
              <w14:schemeClr w14:val="tx1"/>
            </w14:solidFill>
          </w14:textFill>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spacing w:line="560" w:lineRule="exact"/>
        <w:ind w:firstLine="632" w:firstLineChars="200"/>
        <w:rPr>
          <w:rFonts w:ascii="Times New Roman" w:hAnsi="Times New Roman" w:cs="Times New Roman"/>
          <w:color w:val="000000" w:themeColor="text1"/>
          <w14:textFill>
            <w14:solidFill>
              <w14:schemeClr w14:val="tx1"/>
            </w14:solidFill>
          </w14:textFill>
        </w:rPr>
      </w:pPr>
    </w:p>
    <w:p>
      <w:pPr>
        <w:ind w:firstLine="632"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四五”时期是我国全面建成小康社会、实现第一个百年奋斗目标之后，乘势而上开启全面建设社会主义现代化国家新征程、向第二个百年奋斗目标进军的第一个五年，是我国全面开启社会主义现代化强国建设新征程的重要历史时期，也是我</w:t>
      </w:r>
      <w:r>
        <w:rPr>
          <w:rFonts w:hint="eastAsia" w:ascii="Times New Roman" w:hAnsi="Times New Roman" w:cs="Times New Roman"/>
          <w:color w:val="000000" w:themeColor="text1"/>
          <w:lang w:eastAsia="zh-CN"/>
          <w14:textFill>
            <w14:solidFill>
              <w14:schemeClr w14:val="tx1"/>
            </w14:solidFill>
          </w14:textFill>
        </w:rPr>
        <w:t>市</w:t>
      </w:r>
      <w:r>
        <w:rPr>
          <w:rFonts w:ascii="Times New Roman" w:hAnsi="Times New Roman" w:cs="Times New Roman"/>
          <w:color w:val="000000" w:themeColor="text1"/>
          <w14:textFill>
            <w14:solidFill>
              <w14:schemeClr w14:val="tx1"/>
            </w14:solidFill>
          </w14:textFill>
        </w:rPr>
        <w:t>制造业提质增效、高质量发展的关键五年。2020年全市GDP总量达到1649.99亿元，工业占比35.</w:t>
      </w: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%，产业结构比重为14.</w:t>
      </w:r>
      <w:r>
        <w:rPr>
          <w:rFonts w:hint="eastAsia" w:ascii="Times New Roman" w:hAnsi="Times New Roman" w:cs="Times New Roman"/>
          <w:color w:val="000000" w:themeColor="text1"/>
          <w:lang w:val="en-US" w:eastAsia="zh-CN"/>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:35.</w:t>
      </w: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50.1。濮阳市经济整体上总量小、层次低，“十四五”期间工业仍是支撑经济发展的主导力量。随着经济发展新常态的持续和国际国内环境的深刻变化，濮阳市制造业长期积累的深层次结构性矛盾日益突出，已经进入到必须以高质量发展为主攻方向的新阶段。</w:t>
      </w:r>
    </w:p>
    <w:p>
      <w:pPr>
        <w:ind w:firstLine="632" w:firstLineChars="200"/>
        <w:rPr>
          <w:rFonts w:ascii="Times New Roman" w:hAnsi="Times New Roman" w:cs="Times New Roman"/>
          <w:color w:val="000000" w:themeColor="text1"/>
          <w14:textFill>
            <w14:solidFill>
              <w14:schemeClr w14:val="tx1"/>
            </w14:solidFill>
          </w14:textFill>
        </w:rPr>
        <w:sectPr>
          <w:footerReference r:id="rId5" w:type="default"/>
          <w:pgSz w:w="11906" w:h="16838"/>
          <w:pgMar w:top="2098" w:right="1474" w:bottom="1984" w:left="1474" w:header="851" w:footer="1587" w:gutter="113"/>
          <w:pgNumType w:fmt="decimal"/>
          <w:cols w:space="0" w:num="1"/>
          <w:docGrid w:type="linesAndChars" w:linePitch="579" w:charSpace="-842"/>
        </w:sectPr>
      </w:pPr>
      <w:r>
        <w:rPr>
          <w:rFonts w:ascii="Times New Roman" w:hAnsi="Times New Roman" w:cs="Times New Roman"/>
          <w:color w:val="000000" w:themeColor="text1"/>
          <w14:textFill>
            <w14:solidFill>
              <w14:schemeClr w14:val="tx1"/>
            </w14:solidFill>
          </w14:textFill>
        </w:rPr>
        <w:t>本规划是指导今后五年濮阳市制造业高质量发展的行动纲领，是落实《濮阳市国民经济和社会发展第十四个五年规划和二〇三五年远景目标纲要》的具体部署，是我市制造业领域其它规划的重要指导。</w:t>
      </w:r>
    </w:p>
    <w:p>
      <w:pPr>
        <w:ind w:firstLine="632" w:firstLineChars="200"/>
        <w:rPr>
          <w:rFonts w:ascii="Times New Roman" w:hAnsi="Times New Roman" w:cs="Times New Roman"/>
          <w:color w:val="000000" w:themeColor="text1"/>
          <w14:textFill>
            <w14:solidFill>
              <w14:schemeClr w14:val="tx1"/>
            </w14:solidFill>
          </w14:textFill>
        </w:rPr>
        <w:sectPr>
          <w:footerReference r:id="rId6" w:type="default"/>
          <w:pgSz w:w="11906" w:h="16838"/>
          <w:pgMar w:top="2098" w:right="1474" w:bottom="1984" w:left="1474" w:header="851" w:footer="1587" w:gutter="113"/>
          <w:pgNumType w:fmt="decimal"/>
          <w:cols w:space="0" w:num="1"/>
          <w:docGrid w:type="linesAndChars" w:linePitch="579" w:charSpace="-842"/>
        </w:sectPr>
      </w:pPr>
    </w:p>
    <w:sdt>
      <w:sdtPr>
        <w:rPr>
          <w:rFonts w:ascii="Times New Roman" w:hAnsi="Times New Roman" w:eastAsia="方正小标宋简体" w:cs="Times New Roman"/>
          <w:color w:val="000000" w:themeColor="text1"/>
          <w:sz w:val="44"/>
          <w:szCs w:val="44"/>
          <w14:textFill>
            <w14:solidFill>
              <w14:schemeClr w14:val="tx1"/>
            </w14:solidFill>
          </w14:textFill>
        </w:rPr>
        <w:id w:val="147482330"/>
        <w:docPartObj>
          <w:docPartGallery w:val="Table of Contents"/>
          <w:docPartUnique/>
        </w:docPartObj>
      </w:sdtPr>
      <w:sdtEndPr>
        <w:rPr>
          <w:rFonts w:ascii="Times New Roman" w:hAnsi="Times New Roman" w:eastAsia="方正小标宋简体" w:cs="Times New Roman"/>
          <w:b/>
          <w:color w:val="000000" w:themeColor="text1"/>
          <w:sz w:val="32"/>
          <w:szCs w:val="44"/>
          <w14:textFill>
            <w14:solidFill>
              <w14:schemeClr w14:val="tx1"/>
            </w14:solidFill>
          </w14:textFill>
        </w:rPr>
      </w:sdtEndPr>
      <w:sdtContent>
        <w:p>
          <w:pPr>
            <w:spacing w:line="6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目  录</w:t>
          </w:r>
        </w:p>
        <w:p>
          <w:pPr>
            <w:pStyle w:val="11"/>
            <w:tabs>
              <w:tab w:val="right" w:leader="dot" w:pos="8845"/>
            </w:tabs>
          </w:pPr>
          <w:r>
            <w:rPr>
              <w:rFonts w:ascii="Times New Roman" w:hAnsi="Times New Roman" w:eastAsia="方正小标宋简体" w:cs="Times New Roman"/>
              <w:color w:val="000000" w:themeColor="text1"/>
              <w:sz w:val="44"/>
              <w:szCs w:val="44"/>
              <w14:textFill>
                <w14:solidFill>
                  <w14:schemeClr w14:val="tx1"/>
                </w14:solidFill>
              </w14:textFill>
            </w:rPr>
            <w:fldChar w:fldCharType="begin"/>
          </w:r>
          <w:r>
            <w:rPr>
              <w:rFonts w:ascii="Times New Roman" w:hAnsi="Times New Roman" w:eastAsia="方正小标宋简体" w:cs="Times New Roman"/>
              <w:color w:val="000000" w:themeColor="text1"/>
              <w:sz w:val="44"/>
              <w:szCs w:val="44"/>
              <w14:textFill>
                <w14:solidFill>
                  <w14:schemeClr w14:val="tx1"/>
                </w14:solidFill>
              </w14:textFill>
            </w:rPr>
            <w:instrText xml:space="preserve">TOC \o "1-2" \h \u </w:instrText>
          </w:r>
          <w:r>
            <w:rPr>
              <w:rFonts w:ascii="Times New Roman" w:hAnsi="Times New Roman" w:eastAsia="方正小标宋简体" w:cs="Times New Roman"/>
              <w:color w:val="000000" w:themeColor="text1"/>
              <w:sz w:val="44"/>
              <w:szCs w:val="44"/>
              <w14:textFill>
                <w14:solidFill>
                  <w14:schemeClr w14:val="tx1"/>
                </w14:solidFill>
              </w14:textFill>
            </w:rPr>
            <w:fldChar w:fldCharType="separate"/>
          </w:r>
        </w:p>
        <w:p>
          <w:pPr>
            <w:pStyle w:val="10"/>
            <w:tabs>
              <w:tab w:val="right" w:leader="dot" w:pos="8845"/>
            </w:tabs>
          </w:pPr>
          <w:r>
            <w:rPr>
              <w:rFonts w:hint="eastAsia" w:ascii="黑体" w:hAnsi="黑体" w:eastAsia="黑体" w:cs="黑体"/>
              <w:color w:val="000000" w:themeColor="text1"/>
              <w:szCs w:val="44"/>
              <w14:textFill>
                <w14:solidFill>
                  <w14:schemeClr w14:val="tx1"/>
                </w14:solidFill>
              </w14:textFill>
            </w:rPr>
            <w:fldChar w:fldCharType="begin"/>
          </w:r>
          <w:r>
            <w:rPr>
              <w:rFonts w:hint="eastAsia" w:ascii="黑体" w:hAnsi="黑体" w:eastAsia="黑体" w:cs="黑体"/>
              <w:szCs w:val="44"/>
            </w:rPr>
            <w:instrText xml:space="preserve"> HYPERLINK \l _Toc1693 </w:instrText>
          </w:r>
          <w:r>
            <w:rPr>
              <w:rFonts w:hint="eastAsia" w:ascii="黑体" w:hAnsi="黑体" w:eastAsia="黑体" w:cs="黑体"/>
              <w:szCs w:val="44"/>
            </w:rPr>
            <w:fldChar w:fldCharType="separate"/>
          </w:r>
          <w:r>
            <w:rPr>
              <w:rFonts w:hint="eastAsia" w:ascii="黑体" w:hAnsi="黑体" w:eastAsia="黑体" w:cs="黑体"/>
            </w:rPr>
            <w:t>第一章  发展回顾与形势分析</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_Toc1693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_Toc15951 </w:instrText>
          </w:r>
          <w:r>
            <w:rPr>
              <w:rFonts w:ascii="Times New Roman" w:hAnsi="Times New Roman" w:eastAsia="方正小标宋简体" w:cs="Times New Roman"/>
              <w:szCs w:val="44"/>
            </w:rPr>
            <w:fldChar w:fldCharType="separate"/>
          </w:r>
          <w:r>
            <w:rPr>
              <w:rFonts w:ascii="Times New Roman" w:hAnsi="Times New Roman" w:cs="Times New Roman"/>
            </w:rPr>
            <w:t>一、“十三五”发展回顾</w:t>
          </w:r>
          <w:r>
            <w:tab/>
          </w:r>
          <w:r>
            <w:fldChar w:fldCharType="begin"/>
          </w:r>
          <w:r>
            <w:instrText xml:space="preserve"> PAGEREF _Toc15951 \h </w:instrText>
          </w:r>
          <w:r>
            <w:fldChar w:fldCharType="separate"/>
          </w:r>
          <w:r>
            <w:t>3</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_Toc21 </w:instrText>
          </w:r>
          <w:r>
            <w:rPr>
              <w:rFonts w:ascii="Times New Roman" w:hAnsi="Times New Roman" w:eastAsia="方正小标宋简体" w:cs="Times New Roman"/>
              <w:szCs w:val="44"/>
            </w:rPr>
            <w:fldChar w:fldCharType="separate"/>
          </w:r>
          <w:r>
            <w:rPr>
              <w:rFonts w:ascii="Times New Roman" w:hAnsi="Times New Roman" w:cs="Times New Roman"/>
            </w:rPr>
            <w:t>二、</w:t>
          </w:r>
          <w:r>
            <w:rPr>
              <w:rFonts w:hint="eastAsia" w:ascii="Times New Roman" w:hAnsi="Times New Roman" w:cs="Times New Roman"/>
              <w:lang w:val="en-US" w:eastAsia="zh-CN"/>
            </w:rPr>
            <w:t>“十四五”发展新形势</w:t>
          </w:r>
          <w:r>
            <w:tab/>
          </w:r>
          <w:r>
            <w:fldChar w:fldCharType="begin"/>
          </w:r>
          <w:r>
            <w:instrText xml:space="preserve"> PAGEREF _Toc21 \h </w:instrText>
          </w:r>
          <w:r>
            <w:fldChar w:fldCharType="separate"/>
          </w:r>
          <w:r>
            <w:t>9</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0"/>
            <w:tabs>
              <w:tab w:val="right" w:leader="dot" w:pos="8845"/>
            </w:tabs>
          </w:pPr>
          <w:r>
            <w:rPr>
              <w:rFonts w:hint="eastAsia" w:ascii="黑体" w:hAnsi="黑体" w:eastAsia="黑体" w:cs="黑体"/>
              <w:color w:val="000000" w:themeColor="text1"/>
              <w:szCs w:val="44"/>
              <w14:textFill>
                <w14:solidFill>
                  <w14:schemeClr w14:val="tx1"/>
                </w14:solidFill>
              </w14:textFill>
            </w:rPr>
            <w:fldChar w:fldCharType="begin"/>
          </w:r>
          <w:r>
            <w:rPr>
              <w:rFonts w:hint="eastAsia" w:ascii="黑体" w:hAnsi="黑体" w:eastAsia="黑体" w:cs="黑体"/>
              <w:color w:val="000000" w:themeColor="text1"/>
              <w:szCs w:val="44"/>
              <w14:textFill>
                <w14:solidFill>
                  <w14:schemeClr w14:val="tx1"/>
                </w14:solidFill>
              </w14:textFill>
            </w:rPr>
            <w:instrText xml:space="preserve"> HYPERLINK \l _Toc24732 </w:instrText>
          </w:r>
          <w:r>
            <w:rPr>
              <w:rFonts w:hint="eastAsia" w:ascii="黑体" w:hAnsi="黑体" w:eastAsia="黑体" w:cs="黑体"/>
              <w:color w:val="000000" w:themeColor="text1"/>
              <w:szCs w:val="44"/>
              <w14:textFill>
                <w14:solidFill>
                  <w14:schemeClr w14:val="tx1"/>
                </w14:solidFill>
              </w14:textFill>
            </w:rPr>
            <w:fldChar w:fldCharType="separate"/>
          </w:r>
          <w:r>
            <w:rPr>
              <w:rFonts w:hint="eastAsia" w:ascii="黑体" w:hAnsi="黑体" w:eastAsia="黑体" w:cs="黑体"/>
              <w:color w:val="000000" w:themeColor="text1"/>
              <w:szCs w:val="44"/>
              <w14:textFill>
                <w14:solidFill>
                  <w14:schemeClr w14:val="tx1"/>
                </w14:solidFill>
              </w14:textFill>
            </w:rPr>
            <w:t>第二章  总体思路和发展目标</w:t>
          </w:r>
          <w:r>
            <w:rPr>
              <w:rFonts w:hint="eastAsia" w:ascii="黑体" w:hAnsi="黑体" w:eastAsia="黑体" w:cs="黑体"/>
              <w:color w:val="000000" w:themeColor="text1"/>
              <w:szCs w:val="44"/>
              <w14:textFill>
                <w14:solidFill>
                  <w14:schemeClr w14:val="tx1"/>
                </w14:solidFill>
              </w14:textFill>
            </w:rPr>
            <w:tab/>
          </w:r>
          <w:r>
            <w:rPr>
              <w:rFonts w:hint="eastAsia" w:ascii="黑体" w:hAnsi="黑体" w:eastAsia="黑体" w:cs="黑体"/>
              <w:color w:val="000000" w:themeColor="text1"/>
              <w:szCs w:val="44"/>
              <w14:textFill>
                <w14:solidFill>
                  <w14:schemeClr w14:val="tx1"/>
                </w14:solidFill>
              </w14:textFill>
            </w:rPr>
            <w:fldChar w:fldCharType="begin"/>
          </w:r>
          <w:r>
            <w:rPr>
              <w:rFonts w:hint="eastAsia" w:ascii="黑体" w:hAnsi="黑体" w:eastAsia="黑体" w:cs="黑体"/>
              <w:color w:val="000000" w:themeColor="text1"/>
              <w:szCs w:val="44"/>
              <w14:textFill>
                <w14:solidFill>
                  <w14:schemeClr w14:val="tx1"/>
                </w14:solidFill>
              </w14:textFill>
            </w:rPr>
            <w:instrText xml:space="preserve"> PAGEREF _Toc24732 \h </w:instrText>
          </w:r>
          <w:r>
            <w:rPr>
              <w:rFonts w:hint="eastAsia" w:ascii="黑体" w:hAnsi="黑体" w:eastAsia="黑体" w:cs="黑体"/>
              <w:color w:val="000000" w:themeColor="text1"/>
              <w:szCs w:val="44"/>
              <w14:textFill>
                <w14:solidFill>
                  <w14:schemeClr w14:val="tx1"/>
                </w14:solidFill>
              </w14:textFill>
            </w:rPr>
            <w:fldChar w:fldCharType="separate"/>
          </w:r>
          <w:r>
            <w:rPr>
              <w:rFonts w:hint="eastAsia" w:ascii="黑体" w:hAnsi="黑体" w:eastAsia="黑体" w:cs="黑体"/>
              <w:color w:val="000000" w:themeColor="text1"/>
              <w:szCs w:val="44"/>
              <w14:textFill>
                <w14:solidFill>
                  <w14:schemeClr w14:val="tx1"/>
                </w14:solidFill>
              </w14:textFill>
            </w:rPr>
            <w:t>15</w:t>
          </w:r>
          <w:r>
            <w:rPr>
              <w:rFonts w:hint="eastAsia" w:ascii="黑体" w:hAnsi="黑体" w:eastAsia="黑体" w:cs="黑体"/>
              <w:color w:val="000000" w:themeColor="text1"/>
              <w:szCs w:val="44"/>
              <w14:textFill>
                <w14:solidFill>
                  <w14:schemeClr w14:val="tx1"/>
                </w14:solidFill>
              </w14:textFill>
            </w:rPr>
            <w:fldChar w:fldCharType="end"/>
          </w:r>
          <w:r>
            <w:rPr>
              <w:rFonts w:hint="eastAsia" w:ascii="黑体" w:hAnsi="黑体" w:eastAsia="黑体" w:cs="黑体"/>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_Toc27697 </w:instrText>
          </w:r>
          <w:r>
            <w:rPr>
              <w:rFonts w:ascii="Times New Roman" w:hAnsi="Times New Roman" w:eastAsia="方正小标宋简体" w:cs="Times New Roman"/>
              <w:szCs w:val="44"/>
            </w:rPr>
            <w:fldChar w:fldCharType="separate"/>
          </w:r>
          <w:r>
            <w:rPr>
              <w:rFonts w:ascii="Times New Roman" w:hAnsi="Times New Roman" w:cs="Times New Roman"/>
            </w:rPr>
            <w:t>一、总体思路</w:t>
          </w:r>
          <w:r>
            <w:tab/>
          </w:r>
          <w:r>
            <w:fldChar w:fldCharType="begin"/>
          </w:r>
          <w:r>
            <w:instrText xml:space="preserve"> PAGEREF _Toc27697 \h </w:instrText>
          </w:r>
          <w:r>
            <w:fldChar w:fldCharType="separate"/>
          </w:r>
          <w:r>
            <w:t>15</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_Toc9705 </w:instrText>
          </w:r>
          <w:r>
            <w:rPr>
              <w:rFonts w:ascii="Times New Roman" w:hAnsi="Times New Roman" w:eastAsia="方正小标宋简体" w:cs="Times New Roman"/>
              <w:szCs w:val="44"/>
            </w:rPr>
            <w:fldChar w:fldCharType="separate"/>
          </w:r>
          <w:r>
            <w:rPr>
              <w:rFonts w:ascii="Times New Roman" w:hAnsi="Times New Roman" w:cs="Times New Roman"/>
            </w:rPr>
            <w:t>二、基本原则</w:t>
          </w:r>
          <w:r>
            <w:tab/>
          </w:r>
          <w:r>
            <w:fldChar w:fldCharType="begin"/>
          </w:r>
          <w:r>
            <w:instrText xml:space="preserve"> PAGEREF _Toc9705 \h </w:instrText>
          </w:r>
          <w:r>
            <w:fldChar w:fldCharType="separate"/>
          </w:r>
          <w:r>
            <w:t>16</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_Toc30604 </w:instrText>
          </w:r>
          <w:r>
            <w:rPr>
              <w:rFonts w:ascii="Times New Roman" w:hAnsi="Times New Roman" w:eastAsia="方正小标宋简体" w:cs="Times New Roman"/>
              <w:szCs w:val="44"/>
            </w:rPr>
            <w:fldChar w:fldCharType="separate"/>
          </w:r>
          <w:r>
            <w:rPr>
              <w:rFonts w:ascii="Times New Roman" w:hAnsi="Times New Roman" w:cs="Times New Roman"/>
            </w:rPr>
            <w:t>三、主要目标</w:t>
          </w:r>
          <w:r>
            <w:tab/>
          </w:r>
          <w:r>
            <w:fldChar w:fldCharType="begin"/>
          </w:r>
          <w:r>
            <w:instrText xml:space="preserve"> PAGEREF _Toc30604 \h </w:instrText>
          </w:r>
          <w:r>
            <w:fldChar w:fldCharType="separate"/>
          </w:r>
          <w:r>
            <w:t>18</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0"/>
            <w:tabs>
              <w:tab w:val="right" w:leader="dot" w:pos="8845"/>
            </w:tabs>
            <w:rPr>
              <w:rFonts w:hint="eastAsia" w:ascii="黑体" w:hAnsi="黑体" w:eastAsia="黑体" w:cs="黑体"/>
              <w:color w:val="000000" w:themeColor="text1"/>
              <w:szCs w:val="44"/>
              <w14:textFill>
                <w14:solidFill>
                  <w14:schemeClr w14:val="tx1"/>
                </w14:solidFill>
              </w14:textFill>
            </w:rPr>
          </w:pPr>
          <w:r>
            <w:rPr>
              <w:rFonts w:hint="eastAsia" w:ascii="黑体" w:hAnsi="黑体" w:eastAsia="黑体" w:cs="黑体"/>
              <w:color w:val="000000" w:themeColor="text1"/>
              <w:szCs w:val="44"/>
              <w14:textFill>
                <w14:solidFill>
                  <w14:schemeClr w14:val="tx1"/>
                </w14:solidFill>
              </w14:textFill>
            </w:rPr>
            <w:fldChar w:fldCharType="begin"/>
          </w:r>
          <w:r>
            <w:rPr>
              <w:rFonts w:hint="eastAsia" w:ascii="黑体" w:hAnsi="黑体" w:eastAsia="黑体" w:cs="黑体"/>
              <w:color w:val="000000" w:themeColor="text1"/>
              <w:szCs w:val="44"/>
              <w14:textFill>
                <w14:solidFill>
                  <w14:schemeClr w14:val="tx1"/>
                </w14:solidFill>
              </w14:textFill>
            </w:rPr>
            <w:instrText xml:space="preserve"> HYPERLINK \l _Toc2483 </w:instrText>
          </w:r>
          <w:r>
            <w:rPr>
              <w:rFonts w:hint="eastAsia" w:ascii="黑体" w:hAnsi="黑体" w:eastAsia="黑体" w:cs="黑体"/>
              <w:color w:val="000000" w:themeColor="text1"/>
              <w:szCs w:val="44"/>
              <w14:textFill>
                <w14:solidFill>
                  <w14:schemeClr w14:val="tx1"/>
                </w14:solidFill>
              </w14:textFill>
            </w:rPr>
            <w:fldChar w:fldCharType="separate"/>
          </w:r>
          <w:r>
            <w:rPr>
              <w:rFonts w:hint="eastAsia" w:ascii="黑体" w:hAnsi="黑体" w:eastAsia="黑体" w:cs="黑体"/>
              <w:color w:val="000000" w:themeColor="text1"/>
              <w:szCs w:val="44"/>
              <w14:textFill>
                <w14:solidFill>
                  <w14:schemeClr w14:val="tx1"/>
                </w14:solidFill>
              </w14:textFill>
            </w:rPr>
            <w:t xml:space="preserve">第三章  </w:t>
          </w:r>
          <w:r>
            <w:rPr>
              <w:rFonts w:hint="eastAsia" w:ascii="黑体" w:hAnsi="黑体" w:eastAsia="黑体" w:cs="黑体"/>
              <w:color w:val="000000" w:themeColor="text1"/>
              <w:szCs w:val="44"/>
              <w:lang w:val="en-US" w:eastAsia="zh-CN"/>
              <w14:textFill>
                <w14:solidFill>
                  <w14:schemeClr w14:val="tx1"/>
                </w14:solidFill>
              </w14:textFill>
            </w:rPr>
            <w:t>构建</w:t>
          </w:r>
          <w:r>
            <w:rPr>
              <w:rFonts w:hint="eastAsia" w:ascii="黑体" w:hAnsi="黑体" w:eastAsia="黑体" w:cs="黑体"/>
              <w:color w:val="000000" w:themeColor="text1"/>
              <w:szCs w:val="44"/>
              <w14:textFill>
                <w14:solidFill>
                  <w14:schemeClr w14:val="tx1"/>
                </w14:solidFill>
              </w14:textFill>
            </w:rPr>
            <w:t>现代</w:t>
          </w:r>
          <w:r>
            <w:rPr>
              <w:rFonts w:hint="eastAsia" w:ascii="黑体" w:hAnsi="黑体" w:eastAsia="黑体" w:cs="黑体"/>
              <w:color w:val="000000" w:themeColor="text1"/>
              <w:szCs w:val="44"/>
              <w:lang w:val="en-US" w:eastAsia="zh-CN"/>
              <w14:textFill>
                <w14:solidFill>
                  <w14:schemeClr w14:val="tx1"/>
                </w14:solidFill>
              </w14:textFill>
            </w:rPr>
            <w:t>产业</w:t>
          </w:r>
          <w:r>
            <w:rPr>
              <w:rFonts w:hint="eastAsia" w:ascii="黑体" w:hAnsi="黑体" w:eastAsia="黑体" w:cs="黑体"/>
              <w:color w:val="000000" w:themeColor="text1"/>
              <w:szCs w:val="44"/>
              <w14:textFill>
                <w14:solidFill>
                  <w14:schemeClr w14:val="tx1"/>
                </w14:solidFill>
              </w14:textFill>
            </w:rPr>
            <w:t>体系</w:t>
          </w:r>
          <w:r>
            <w:rPr>
              <w:rFonts w:hint="eastAsia" w:ascii="黑体" w:hAnsi="黑体" w:eastAsia="黑体" w:cs="黑体"/>
              <w:color w:val="000000" w:themeColor="text1"/>
              <w:szCs w:val="44"/>
              <w14:textFill>
                <w14:solidFill>
                  <w14:schemeClr w14:val="tx1"/>
                </w14:solidFill>
              </w14:textFill>
            </w:rPr>
            <w:tab/>
          </w:r>
          <w:r>
            <w:rPr>
              <w:rFonts w:hint="eastAsia" w:ascii="黑体" w:hAnsi="黑体" w:eastAsia="黑体" w:cs="黑体"/>
              <w:color w:val="000000" w:themeColor="text1"/>
              <w:szCs w:val="44"/>
              <w14:textFill>
                <w14:solidFill>
                  <w14:schemeClr w14:val="tx1"/>
                </w14:solidFill>
              </w14:textFill>
            </w:rPr>
            <w:fldChar w:fldCharType="begin"/>
          </w:r>
          <w:r>
            <w:rPr>
              <w:rFonts w:hint="eastAsia" w:ascii="黑体" w:hAnsi="黑体" w:eastAsia="黑体" w:cs="黑体"/>
              <w:color w:val="000000" w:themeColor="text1"/>
              <w:szCs w:val="44"/>
              <w14:textFill>
                <w14:solidFill>
                  <w14:schemeClr w14:val="tx1"/>
                </w14:solidFill>
              </w14:textFill>
            </w:rPr>
            <w:instrText xml:space="preserve"> PAGEREF _Toc2483 \h </w:instrText>
          </w:r>
          <w:r>
            <w:rPr>
              <w:rFonts w:hint="eastAsia" w:ascii="黑体" w:hAnsi="黑体" w:eastAsia="黑体" w:cs="黑体"/>
              <w:color w:val="000000" w:themeColor="text1"/>
              <w:szCs w:val="44"/>
              <w14:textFill>
                <w14:solidFill>
                  <w14:schemeClr w14:val="tx1"/>
                </w14:solidFill>
              </w14:textFill>
            </w:rPr>
            <w:fldChar w:fldCharType="separate"/>
          </w:r>
          <w:r>
            <w:rPr>
              <w:rFonts w:hint="eastAsia" w:ascii="黑体" w:hAnsi="黑体" w:eastAsia="黑体" w:cs="黑体"/>
              <w:color w:val="000000" w:themeColor="text1"/>
              <w:szCs w:val="44"/>
              <w14:textFill>
                <w14:solidFill>
                  <w14:schemeClr w14:val="tx1"/>
                </w14:solidFill>
              </w14:textFill>
            </w:rPr>
            <w:t>21</w:t>
          </w:r>
          <w:r>
            <w:rPr>
              <w:rFonts w:hint="eastAsia" w:ascii="黑体" w:hAnsi="黑体" w:eastAsia="黑体" w:cs="黑体"/>
              <w:color w:val="000000" w:themeColor="text1"/>
              <w:szCs w:val="44"/>
              <w14:textFill>
                <w14:solidFill>
                  <w14:schemeClr w14:val="tx1"/>
                </w14:solidFill>
              </w14:textFill>
            </w:rPr>
            <w:fldChar w:fldCharType="end"/>
          </w:r>
          <w:r>
            <w:rPr>
              <w:rFonts w:hint="eastAsia" w:ascii="黑体" w:hAnsi="黑体" w:eastAsia="黑体" w:cs="黑体"/>
              <w:color w:val="000000" w:themeColor="text1"/>
              <w:szCs w:val="44"/>
              <w14:textFill>
                <w14:solidFill>
                  <w14:schemeClr w14:val="tx1"/>
                </w14:solidFill>
              </w14:textFill>
            </w:rPr>
            <w:fldChar w:fldCharType="end"/>
          </w:r>
        </w:p>
        <w:p>
          <w:pPr>
            <w:pStyle w:val="11"/>
            <w:tabs>
              <w:tab w:val="right" w:leader="dot" w:pos="8845"/>
            </w:tabs>
            <w:jc w:val="center"/>
            <w:rPr>
              <w:rFonts w:hint="eastAsia" w:ascii="楷体_GB2312" w:hAnsi="楷体_GB2312" w:eastAsia="楷体_GB2312" w:cs="楷体_GB2312"/>
            </w:rPr>
          </w:pPr>
          <w:r>
            <w:rPr>
              <w:rFonts w:hint="eastAsia" w:ascii="楷体_GB2312" w:hAnsi="楷体_GB2312" w:eastAsia="楷体_GB2312" w:cs="楷体_GB2312"/>
              <w:color w:val="000000" w:themeColor="text1"/>
              <w:szCs w:val="44"/>
              <w14:textFill>
                <w14:solidFill>
                  <w14:schemeClr w14:val="tx1"/>
                </w14:solidFill>
              </w14:textFill>
            </w:rPr>
            <w:fldChar w:fldCharType="begin"/>
          </w:r>
          <w:r>
            <w:rPr>
              <w:rFonts w:hint="eastAsia" w:ascii="楷体_GB2312" w:hAnsi="楷体_GB2312" w:eastAsia="楷体_GB2312" w:cs="楷体_GB2312"/>
              <w:szCs w:val="44"/>
            </w:rPr>
            <w:instrText xml:space="preserve"> HYPERLINK \l _Toc29624 </w:instrText>
          </w:r>
          <w:r>
            <w:rPr>
              <w:rFonts w:hint="eastAsia" w:ascii="楷体_GB2312" w:hAnsi="楷体_GB2312" w:eastAsia="楷体_GB2312" w:cs="楷体_GB2312"/>
              <w:szCs w:val="44"/>
            </w:rPr>
            <w:fldChar w:fldCharType="separate"/>
          </w:r>
          <w:r>
            <w:rPr>
              <w:rFonts w:hint="eastAsia" w:ascii="楷体_GB2312" w:hAnsi="楷体_GB2312" w:eastAsia="楷体_GB2312" w:cs="楷体_GB2312"/>
            </w:rPr>
            <w:t xml:space="preserve">第一节  </w:t>
          </w:r>
          <w:r>
            <w:rPr>
              <w:rFonts w:hint="eastAsia" w:ascii="楷体_GB2312" w:hAnsi="楷体_GB2312" w:eastAsia="楷体_GB2312" w:cs="楷体_GB2312"/>
              <w:lang w:val="en-US" w:eastAsia="zh-CN"/>
            </w:rPr>
            <w:t>提质发展传统产业</w:t>
          </w:r>
          <w:r>
            <w:rPr>
              <w:rFonts w:hint="eastAsia" w:ascii="楷体_GB2312" w:hAnsi="楷体_GB2312" w:eastAsia="楷体_GB2312" w:cs="楷体_GB2312"/>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_Toc29482 </w:instrText>
          </w:r>
          <w:r>
            <w:rPr>
              <w:rFonts w:ascii="Times New Roman" w:hAnsi="Times New Roman" w:eastAsia="方正小标宋简体" w:cs="Times New Roman"/>
              <w:szCs w:val="44"/>
            </w:rPr>
            <w:fldChar w:fldCharType="separate"/>
          </w:r>
          <w:r>
            <w:rPr>
              <w:rFonts w:ascii="Times New Roman" w:hAnsi="Times New Roman" w:cs="Times New Roman"/>
            </w:rPr>
            <w:t>一、化工产业</w:t>
          </w:r>
          <w:r>
            <w:tab/>
          </w:r>
          <w:r>
            <w:fldChar w:fldCharType="begin"/>
          </w:r>
          <w:r>
            <w:instrText xml:space="preserve"> PAGEREF _Toc29482 \h </w:instrText>
          </w:r>
          <w:r>
            <w:fldChar w:fldCharType="separate"/>
          </w:r>
          <w:r>
            <w:t>21</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_Toc8071 </w:instrText>
          </w:r>
          <w:r>
            <w:rPr>
              <w:rFonts w:ascii="Times New Roman" w:hAnsi="Times New Roman" w:eastAsia="方正小标宋简体" w:cs="Times New Roman"/>
              <w:szCs w:val="44"/>
            </w:rPr>
            <w:fldChar w:fldCharType="separate"/>
          </w:r>
          <w:r>
            <w:rPr>
              <w:rFonts w:ascii="Times New Roman" w:hAnsi="Times New Roman" w:cs="Times New Roman"/>
              <w:bCs/>
            </w:rPr>
            <w:t>二、装备制造产业</w:t>
          </w:r>
          <w:r>
            <w:tab/>
          </w:r>
          <w:r>
            <w:fldChar w:fldCharType="begin"/>
          </w:r>
          <w:r>
            <w:instrText xml:space="preserve"> PAGEREF _Toc8071 \h </w:instrText>
          </w:r>
          <w:r>
            <w:fldChar w:fldCharType="separate"/>
          </w:r>
          <w:r>
            <w:t>31</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_Toc12487 </w:instrText>
          </w:r>
          <w:r>
            <w:rPr>
              <w:rFonts w:ascii="Times New Roman" w:hAnsi="Times New Roman" w:eastAsia="方正小标宋简体" w:cs="Times New Roman"/>
              <w:szCs w:val="44"/>
            </w:rPr>
            <w:fldChar w:fldCharType="separate"/>
          </w:r>
          <w:r>
            <w:rPr>
              <w:rFonts w:ascii="Times New Roman" w:hAnsi="Times New Roman" w:cs="Times New Roman"/>
            </w:rPr>
            <w:t>三、食品加工制造业</w:t>
          </w:r>
          <w:r>
            <w:tab/>
          </w:r>
          <w:r>
            <w:fldChar w:fldCharType="begin"/>
          </w:r>
          <w:r>
            <w:instrText xml:space="preserve"> PAGEREF _Toc12487 \h </w:instrText>
          </w:r>
          <w:r>
            <w:fldChar w:fldCharType="separate"/>
          </w:r>
          <w:r>
            <w:t>34</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_Toc13999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四</w:t>
          </w:r>
          <w:r>
            <w:rPr>
              <w:rFonts w:ascii="Times New Roman" w:hAnsi="Times New Roman" w:cs="Times New Roman"/>
            </w:rPr>
            <w:t>、现代家居产业</w:t>
          </w:r>
          <w:r>
            <w:tab/>
          </w:r>
          <w:r>
            <w:fldChar w:fldCharType="begin"/>
          </w:r>
          <w:r>
            <w:instrText xml:space="preserve"> PAGEREF _Toc13999 \h </w:instrText>
          </w:r>
          <w:r>
            <w:fldChar w:fldCharType="separate"/>
          </w:r>
          <w:r>
            <w:t>38</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_Toc16874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五</w:t>
          </w:r>
          <w:r>
            <w:rPr>
              <w:rFonts w:ascii="Times New Roman" w:hAnsi="Times New Roman" w:cs="Times New Roman"/>
            </w:rPr>
            <w:t>、羽绒制品产业</w:t>
          </w:r>
          <w:r>
            <w:tab/>
          </w:r>
          <w:r>
            <w:fldChar w:fldCharType="begin"/>
          </w:r>
          <w:r>
            <w:instrText xml:space="preserve"> PAGEREF _Toc16874 \h </w:instrText>
          </w:r>
          <w:r>
            <w:fldChar w:fldCharType="separate"/>
          </w:r>
          <w:r>
            <w:t>41</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jc w:val="center"/>
            <w:rPr>
              <w:rFonts w:hint="eastAsia" w:ascii="楷体_GB2312" w:hAnsi="楷体_GB2312" w:eastAsia="楷体_GB2312" w:cs="楷体_GB2312"/>
              <w:color w:val="000000" w:themeColor="text1"/>
              <w:szCs w:val="44"/>
              <w14:textFill>
                <w14:solidFill>
                  <w14:schemeClr w14:val="tx1"/>
                </w14:solidFill>
              </w14:textFill>
            </w:rPr>
          </w:pPr>
          <w:r>
            <w:rPr>
              <w:rFonts w:hint="eastAsia" w:ascii="楷体_GB2312" w:hAnsi="楷体_GB2312" w:eastAsia="楷体_GB2312" w:cs="楷体_GB2312"/>
              <w:color w:val="000000" w:themeColor="text1"/>
              <w:szCs w:val="44"/>
              <w14:textFill>
                <w14:solidFill>
                  <w14:schemeClr w14:val="tx1"/>
                </w14:solidFill>
              </w14:textFill>
            </w:rPr>
            <w:fldChar w:fldCharType="begin"/>
          </w:r>
          <w:r>
            <w:rPr>
              <w:rFonts w:hint="eastAsia" w:ascii="楷体_GB2312" w:hAnsi="楷体_GB2312" w:eastAsia="楷体_GB2312" w:cs="楷体_GB2312"/>
              <w:color w:val="000000" w:themeColor="text1"/>
              <w:szCs w:val="44"/>
              <w14:textFill>
                <w14:solidFill>
                  <w14:schemeClr w14:val="tx1"/>
                </w14:solidFill>
              </w14:textFill>
            </w:rPr>
            <w:instrText xml:space="preserve"> HYPERLINK \l _Toc11154 </w:instrText>
          </w:r>
          <w:r>
            <w:rPr>
              <w:rFonts w:hint="eastAsia" w:ascii="楷体_GB2312" w:hAnsi="楷体_GB2312" w:eastAsia="楷体_GB2312" w:cs="楷体_GB2312"/>
              <w:color w:val="000000" w:themeColor="text1"/>
              <w:szCs w:val="44"/>
              <w14:textFill>
                <w14:solidFill>
                  <w14:schemeClr w14:val="tx1"/>
                </w14:solidFill>
              </w14:textFill>
            </w:rPr>
            <w:fldChar w:fldCharType="separate"/>
          </w:r>
          <w:r>
            <w:rPr>
              <w:rFonts w:hint="eastAsia" w:ascii="楷体_GB2312" w:hAnsi="楷体_GB2312" w:eastAsia="楷体_GB2312" w:cs="楷体_GB2312"/>
              <w:color w:val="000000" w:themeColor="text1"/>
              <w:szCs w:val="44"/>
              <w14:textFill>
                <w14:solidFill>
                  <w14:schemeClr w14:val="tx1"/>
                </w14:solidFill>
              </w14:textFill>
            </w:rPr>
            <w:t>第</w:t>
          </w:r>
          <w:r>
            <w:rPr>
              <w:rFonts w:hint="eastAsia" w:ascii="楷体_GB2312" w:hAnsi="楷体_GB2312" w:eastAsia="楷体_GB2312" w:cs="楷体_GB2312"/>
              <w:color w:val="000000" w:themeColor="text1"/>
              <w:szCs w:val="44"/>
              <w:lang w:val="en-US" w:eastAsia="zh-CN"/>
              <w14:textFill>
                <w14:solidFill>
                  <w14:schemeClr w14:val="tx1"/>
                </w14:solidFill>
              </w14:textFill>
            </w:rPr>
            <w:t>二</w:t>
          </w:r>
          <w:r>
            <w:rPr>
              <w:rFonts w:hint="eastAsia" w:ascii="楷体_GB2312" w:hAnsi="楷体_GB2312" w:eastAsia="楷体_GB2312" w:cs="楷体_GB2312"/>
              <w:color w:val="000000" w:themeColor="text1"/>
              <w:szCs w:val="44"/>
              <w14:textFill>
                <w14:solidFill>
                  <w14:schemeClr w14:val="tx1"/>
                </w14:solidFill>
              </w14:textFill>
            </w:rPr>
            <w:t>节  培育壮大</w:t>
          </w:r>
          <w:r>
            <w:rPr>
              <w:rFonts w:hint="eastAsia" w:ascii="楷体_GB2312" w:hAnsi="楷体_GB2312" w:eastAsia="楷体_GB2312" w:cs="楷体_GB2312"/>
              <w:color w:val="000000" w:themeColor="text1"/>
              <w:szCs w:val="44"/>
              <w:lang w:val="en-US" w:eastAsia="zh-CN"/>
              <w14:textFill>
                <w14:solidFill>
                  <w14:schemeClr w14:val="tx1"/>
                </w14:solidFill>
              </w14:textFill>
            </w:rPr>
            <w:t>新兴</w:t>
          </w:r>
          <w:r>
            <w:rPr>
              <w:rFonts w:hint="eastAsia" w:ascii="楷体_GB2312" w:hAnsi="楷体_GB2312" w:eastAsia="楷体_GB2312" w:cs="楷体_GB2312"/>
              <w:color w:val="000000" w:themeColor="text1"/>
              <w:szCs w:val="44"/>
              <w14:textFill>
                <w14:solidFill>
                  <w14:schemeClr w14:val="tx1"/>
                </w14:solidFill>
              </w14:textFill>
            </w:rPr>
            <w:t>产业</w:t>
          </w:r>
          <w:r>
            <w:rPr>
              <w:rFonts w:hint="eastAsia" w:ascii="楷体_GB2312" w:hAnsi="楷体_GB2312" w:eastAsia="楷体_GB2312" w:cs="楷体_GB2312"/>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_Toc26114 </w:instrText>
          </w:r>
          <w:r>
            <w:rPr>
              <w:rFonts w:ascii="Times New Roman" w:hAnsi="Times New Roman" w:eastAsia="方正小标宋简体" w:cs="Times New Roman"/>
              <w:szCs w:val="44"/>
            </w:rPr>
            <w:fldChar w:fldCharType="separate"/>
          </w:r>
          <w:r>
            <w:rPr>
              <w:rFonts w:ascii="Times New Roman" w:hAnsi="Times New Roman" w:cs="Times New Roman"/>
            </w:rPr>
            <w:t>一、新材料产业</w:t>
          </w:r>
          <w:r>
            <w:tab/>
          </w:r>
          <w:r>
            <w:fldChar w:fldCharType="begin"/>
          </w:r>
          <w:r>
            <w:instrText xml:space="preserve"> PAGEREF _Toc26114 \h </w:instrText>
          </w:r>
          <w:r>
            <w:fldChar w:fldCharType="separate"/>
          </w:r>
          <w:r>
            <w:t>44</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_Toc17448 </w:instrText>
          </w:r>
          <w:r>
            <w:rPr>
              <w:rFonts w:ascii="Times New Roman" w:hAnsi="Times New Roman" w:eastAsia="方正小标宋简体" w:cs="Times New Roman"/>
              <w:szCs w:val="44"/>
            </w:rPr>
            <w:fldChar w:fldCharType="separate"/>
          </w:r>
          <w:r>
            <w:rPr>
              <w:rFonts w:ascii="Times New Roman" w:hAnsi="Times New Roman" w:cs="Times New Roman"/>
            </w:rPr>
            <w:t>二、新能源产业</w:t>
          </w:r>
          <w:r>
            <w:tab/>
          </w:r>
          <w:r>
            <w:fldChar w:fldCharType="begin"/>
          </w:r>
          <w:r>
            <w:instrText xml:space="preserve"> PAGEREF _Toc17448 \h </w:instrText>
          </w:r>
          <w:r>
            <w:fldChar w:fldCharType="separate"/>
          </w:r>
          <w:r>
            <w:t>48</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_Toc26184 </w:instrText>
          </w:r>
          <w:r>
            <w:rPr>
              <w:rFonts w:ascii="Times New Roman" w:hAnsi="Times New Roman" w:eastAsia="方正小标宋简体" w:cs="Times New Roman"/>
              <w:szCs w:val="44"/>
            </w:rPr>
            <w:fldChar w:fldCharType="separate"/>
          </w:r>
          <w:r>
            <w:rPr>
              <w:rFonts w:ascii="Times New Roman" w:hAnsi="Times New Roman" w:cs="Times New Roman"/>
            </w:rPr>
            <w:t>三、节能环保产业</w:t>
          </w:r>
          <w:r>
            <w:tab/>
          </w:r>
          <w:r>
            <w:fldChar w:fldCharType="begin"/>
          </w:r>
          <w:r>
            <w:instrText xml:space="preserve"> PAGEREF _Toc26184 \h </w:instrText>
          </w:r>
          <w:r>
            <w:fldChar w:fldCharType="separate"/>
          </w:r>
          <w:r>
            <w:t>49</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_Toc23391 </w:instrText>
          </w:r>
          <w:r>
            <w:rPr>
              <w:rFonts w:ascii="Times New Roman" w:hAnsi="Times New Roman" w:eastAsia="方正小标宋简体" w:cs="Times New Roman"/>
              <w:szCs w:val="44"/>
            </w:rPr>
            <w:fldChar w:fldCharType="separate"/>
          </w:r>
          <w:r>
            <w:rPr>
              <w:rFonts w:ascii="Times New Roman" w:hAnsi="Times New Roman" w:cs="Times New Roman"/>
            </w:rPr>
            <w:t>四、新一代信息技术</w:t>
          </w:r>
          <w:r>
            <w:tab/>
          </w:r>
          <w:r>
            <w:fldChar w:fldCharType="begin"/>
          </w:r>
          <w:r>
            <w:instrText xml:space="preserve"> PAGEREF _Toc23391 \h </w:instrText>
          </w:r>
          <w:r>
            <w:fldChar w:fldCharType="separate"/>
          </w:r>
          <w:r>
            <w:t>51</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jc w:val="center"/>
            <w:rPr>
              <w:rFonts w:hint="eastAsia" w:ascii="楷体_GB2312" w:hAnsi="楷体_GB2312" w:eastAsia="楷体_GB2312" w:cs="楷体_GB2312"/>
              <w:color w:val="000000" w:themeColor="text1"/>
              <w:szCs w:val="44"/>
              <w14:textFill>
                <w14:solidFill>
                  <w14:schemeClr w14:val="tx1"/>
                </w14:solidFill>
              </w14:textFill>
            </w:rPr>
          </w:pPr>
          <w:r>
            <w:rPr>
              <w:rFonts w:hint="eastAsia" w:ascii="楷体_GB2312" w:hAnsi="楷体_GB2312" w:eastAsia="楷体_GB2312" w:cs="楷体_GB2312"/>
              <w:color w:val="000000" w:themeColor="text1"/>
              <w:szCs w:val="44"/>
              <w14:textFill>
                <w14:solidFill>
                  <w14:schemeClr w14:val="tx1"/>
                </w14:solidFill>
              </w14:textFill>
            </w:rPr>
            <w:fldChar w:fldCharType="begin"/>
          </w:r>
          <w:r>
            <w:rPr>
              <w:rFonts w:hint="eastAsia" w:ascii="楷体_GB2312" w:hAnsi="楷体_GB2312" w:eastAsia="楷体_GB2312" w:cs="楷体_GB2312"/>
              <w:color w:val="000000" w:themeColor="text1"/>
              <w:szCs w:val="44"/>
              <w14:textFill>
                <w14:solidFill>
                  <w14:schemeClr w14:val="tx1"/>
                </w14:solidFill>
              </w14:textFill>
            </w:rPr>
            <w:instrText xml:space="preserve"> HYPERLINK \l _Toc30241 </w:instrText>
          </w:r>
          <w:r>
            <w:rPr>
              <w:rFonts w:hint="eastAsia" w:ascii="楷体_GB2312" w:hAnsi="楷体_GB2312" w:eastAsia="楷体_GB2312" w:cs="楷体_GB2312"/>
              <w:color w:val="000000" w:themeColor="text1"/>
              <w:szCs w:val="44"/>
              <w14:textFill>
                <w14:solidFill>
                  <w14:schemeClr w14:val="tx1"/>
                </w14:solidFill>
              </w14:textFill>
            </w:rPr>
            <w:fldChar w:fldCharType="separate"/>
          </w:r>
          <w:r>
            <w:rPr>
              <w:rFonts w:hint="eastAsia" w:ascii="楷体_GB2312" w:hAnsi="楷体_GB2312" w:eastAsia="楷体_GB2312" w:cs="楷体_GB2312"/>
              <w:color w:val="000000" w:themeColor="text1"/>
              <w:szCs w:val="44"/>
              <w:lang w:val="en-US" w:eastAsia="zh-CN"/>
              <w14:textFill>
                <w14:solidFill>
                  <w14:schemeClr w14:val="tx1"/>
                </w14:solidFill>
              </w14:textFill>
            </w:rPr>
            <w:t>第三节 谋篇布局未来产业</w:t>
          </w:r>
          <w:r>
            <w:rPr>
              <w:rFonts w:hint="eastAsia" w:ascii="楷体_GB2312" w:hAnsi="楷体_GB2312" w:eastAsia="楷体_GB2312" w:cs="楷体_GB2312"/>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_Toc21111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一、氢能产业</w:t>
          </w:r>
          <w:r>
            <w:tab/>
          </w:r>
          <w:r>
            <w:fldChar w:fldCharType="begin"/>
          </w:r>
          <w:r>
            <w:instrText xml:space="preserve"> PAGEREF _Toc21111 \h </w:instrText>
          </w:r>
          <w:r>
            <w:fldChar w:fldCharType="separate"/>
          </w:r>
          <w:r>
            <w:t>55</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0"/>
            <w:tabs>
              <w:tab w:val="right" w:leader="dot" w:pos="8845"/>
            </w:tabs>
          </w:pPr>
          <w:r>
            <w:rPr>
              <w:rFonts w:hint="eastAsia" w:ascii="黑体" w:hAnsi="黑体" w:eastAsia="黑体" w:cs="黑体"/>
              <w:color w:val="000000" w:themeColor="text1"/>
              <w:szCs w:val="44"/>
              <w14:textFill>
                <w14:solidFill>
                  <w14:schemeClr w14:val="tx1"/>
                </w14:solidFill>
              </w14:textFill>
            </w:rPr>
            <w:fldChar w:fldCharType="begin"/>
          </w:r>
          <w:r>
            <w:rPr>
              <w:rFonts w:hint="eastAsia" w:ascii="黑体" w:hAnsi="黑体" w:eastAsia="黑体" w:cs="黑体"/>
              <w:color w:val="000000" w:themeColor="text1"/>
              <w:szCs w:val="44"/>
              <w14:textFill>
                <w14:solidFill>
                  <w14:schemeClr w14:val="tx1"/>
                </w14:solidFill>
              </w14:textFill>
            </w:rPr>
            <w:instrText xml:space="preserve"> HYPERLINK \l _Toc10130 </w:instrText>
          </w:r>
          <w:r>
            <w:rPr>
              <w:rFonts w:hint="eastAsia" w:ascii="黑体" w:hAnsi="黑体" w:eastAsia="黑体" w:cs="黑体"/>
              <w:color w:val="000000" w:themeColor="text1"/>
              <w:szCs w:val="44"/>
              <w14:textFill>
                <w14:solidFill>
                  <w14:schemeClr w14:val="tx1"/>
                </w14:solidFill>
              </w14:textFill>
            </w:rPr>
            <w:fldChar w:fldCharType="separate"/>
          </w:r>
          <w:r>
            <w:rPr>
              <w:rFonts w:hint="eastAsia" w:ascii="黑体" w:hAnsi="黑体" w:eastAsia="黑体" w:cs="黑体"/>
              <w:color w:val="000000" w:themeColor="text1"/>
              <w:szCs w:val="44"/>
              <w14:textFill>
                <w14:solidFill>
                  <w14:schemeClr w14:val="tx1"/>
                </w14:solidFill>
              </w14:textFill>
            </w:rPr>
            <w:t>第四章  主要措施</w:t>
          </w:r>
          <w:r>
            <w:rPr>
              <w:rFonts w:hint="eastAsia" w:ascii="黑体" w:hAnsi="黑体" w:eastAsia="黑体" w:cs="黑体"/>
              <w:color w:val="000000" w:themeColor="text1"/>
              <w:szCs w:val="44"/>
              <w14:textFill>
                <w14:solidFill>
                  <w14:schemeClr w14:val="tx1"/>
                </w14:solidFill>
              </w14:textFill>
            </w:rPr>
            <w:tab/>
          </w:r>
          <w:r>
            <w:rPr>
              <w:rFonts w:hint="eastAsia" w:ascii="黑体" w:hAnsi="黑体" w:eastAsia="黑体" w:cs="黑体"/>
              <w:color w:val="000000" w:themeColor="text1"/>
              <w:szCs w:val="44"/>
              <w14:textFill>
                <w14:solidFill>
                  <w14:schemeClr w14:val="tx1"/>
                </w14:solidFill>
              </w14:textFill>
            </w:rPr>
            <w:fldChar w:fldCharType="begin"/>
          </w:r>
          <w:r>
            <w:rPr>
              <w:rFonts w:hint="eastAsia" w:ascii="黑体" w:hAnsi="黑体" w:eastAsia="黑体" w:cs="黑体"/>
              <w:color w:val="000000" w:themeColor="text1"/>
              <w:szCs w:val="44"/>
              <w14:textFill>
                <w14:solidFill>
                  <w14:schemeClr w14:val="tx1"/>
                </w14:solidFill>
              </w14:textFill>
            </w:rPr>
            <w:instrText xml:space="preserve"> PAGEREF _Toc10130 \h </w:instrText>
          </w:r>
          <w:r>
            <w:rPr>
              <w:rFonts w:hint="eastAsia" w:ascii="黑体" w:hAnsi="黑体" w:eastAsia="黑体" w:cs="黑体"/>
              <w:color w:val="000000" w:themeColor="text1"/>
              <w:szCs w:val="44"/>
              <w14:textFill>
                <w14:solidFill>
                  <w14:schemeClr w14:val="tx1"/>
                </w14:solidFill>
              </w14:textFill>
            </w:rPr>
            <w:fldChar w:fldCharType="separate"/>
          </w:r>
          <w:r>
            <w:rPr>
              <w:rFonts w:hint="eastAsia" w:ascii="黑体" w:hAnsi="黑体" w:eastAsia="黑体" w:cs="黑体"/>
              <w:color w:val="000000" w:themeColor="text1"/>
              <w:szCs w:val="44"/>
              <w14:textFill>
                <w14:solidFill>
                  <w14:schemeClr w14:val="tx1"/>
                </w14:solidFill>
              </w14:textFill>
            </w:rPr>
            <w:t>59</w:t>
          </w:r>
          <w:r>
            <w:rPr>
              <w:rFonts w:hint="eastAsia" w:ascii="黑体" w:hAnsi="黑体" w:eastAsia="黑体" w:cs="黑体"/>
              <w:color w:val="000000" w:themeColor="text1"/>
              <w:szCs w:val="44"/>
              <w14:textFill>
                <w14:solidFill>
                  <w14:schemeClr w14:val="tx1"/>
                </w14:solidFill>
              </w14:textFill>
            </w:rPr>
            <w:fldChar w:fldCharType="end"/>
          </w:r>
          <w:r>
            <w:rPr>
              <w:rFonts w:hint="eastAsia" w:ascii="黑体" w:hAnsi="黑体" w:eastAsia="黑体" w:cs="黑体"/>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_Toc23063 </w:instrText>
          </w:r>
          <w:r>
            <w:rPr>
              <w:rFonts w:ascii="Times New Roman" w:hAnsi="Times New Roman" w:eastAsia="方正小标宋简体" w:cs="Times New Roman"/>
              <w:szCs w:val="44"/>
            </w:rPr>
            <w:fldChar w:fldCharType="separate"/>
          </w:r>
          <w:r>
            <w:rPr>
              <w:rFonts w:ascii="Times New Roman" w:hAnsi="Times New Roman" w:cs="Times New Roman"/>
            </w:rPr>
            <w:t>一、强化科技创新，激发创新发展活力</w:t>
          </w:r>
          <w:r>
            <w:tab/>
          </w:r>
          <w:r>
            <w:fldChar w:fldCharType="begin"/>
          </w:r>
          <w:r>
            <w:instrText xml:space="preserve"> PAGEREF _Toc23063 \h </w:instrText>
          </w:r>
          <w:r>
            <w:fldChar w:fldCharType="separate"/>
          </w:r>
          <w:r>
            <w:t>59</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_Toc7290 </w:instrText>
          </w:r>
          <w:r>
            <w:rPr>
              <w:rFonts w:ascii="Times New Roman" w:hAnsi="Times New Roman" w:eastAsia="方正小标宋简体" w:cs="Times New Roman"/>
              <w:szCs w:val="44"/>
            </w:rPr>
            <w:fldChar w:fldCharType="separate"/>
          </w:r>
          <w:r>
            <w:rPr>
              <w:rFonts w:ascii="Times New Roman" w:hAnsi="Times New Roman" w:cs="Times New Roman"/>
            </w:rPr>
            <w:t>二、强化数字赋能，释放产业发展动能</w:t>
          </w:r>
          <w:r>
            <w:tab/>
          </w:r>
          <w:r>
            <w:fldChar w:fldCharType="begin"/>
          </w:r>
          <w:r>
            <w:instrText xml:space="preserve"> PAGEREF _Toc7290 \h </w:instrText>
          </w:r>
          <w:r>
            <w:fldChar w:fldCharType="separate"/>
          </w:r>
          <w:r>
            <w:t>61</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_Toc14639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三</w:t>
          </w:r>
          <w:r>
            <w:rPr>
              <w:rFonts w:ascii="Times New Roman" w:hAnsi="Times New Roman" w:cs="Times New Roman"/>
            </w:rPr>
            <w:t>、强化业态创新，营造</w:t>
          </w:r>
          <w:r>
            <w:rPr>
              <w:rFonts w:hint="eastAsia" w:ascii="Times New Roman" w:hAnsi="Times New Roman" w:cs="Times New Roman"/>
              <w:lang w:val="en-US" w:eastAsia="zh-CN"/>
            </w:rPr>
            <w:t>耦合</w:t>
          </w:r>
          <w:r>
            <w:rPr>
              <w:rFonts w:ascii="Times New Roman" w:hAnsi="Times New Roman" w:cs="Times New Roman"/>
            </w:rPr>
            <w:t>发展生态</w:t>
          </w:r>
          <w:r>
            <w:tab/>
          </w:r>
          <w:r>
            <w:fldChar w:fldCharType="begin"/>
          </w:r>
          <w:r>
            <w:instrText xml:space="preserve"> PAGEREF _Toc14639 \h </w:instrText>
          </w:r>
          <w:r>
            <w:fldChar w:fldCharType="separate"/>
          </w:r>
          <w:r>
            <w:t>63</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_Toc8806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四</w:t>
          </w:r>
          <w:r>
            <w:rPr>
              <w:rFonts w:ascii="Times New Roman" w:hAnsi="Times New Roman" w:cs="Times New Roman"/>
            </w:rPr>
            <w:t>、强化</w:t>
          </w:r>
          <w:r>
            <w:rPr>
              <w:rFonts w:hint="eastAsia" w:ascii="Times New Roman" w:hAnsi="Times New Roman" w:cs="Times New Roman"/>
              <w:lang w:val="en-US" w:eastAsia="zh-CN"/>
            </w:rPr>
            <w:t>集群</w:t>
          </w:r>
          <w:r>
            <w:rPr>
              <w:rFonts w:ascii="Times New Roman" w:hAnsi="Times New Roman" w:cs="Times New Roman"/>
            </w:rPr>
            <w:t>效应，培育</w:t>
          </w:r>
          <w:r>
            <w:rPr>
              <w:rFonts w:hint="eastAsia" w:ascii="Times New Roman" w:hAnsi="Times New Roman" w:cs="Times New Roman"/>
              <w:lang w:val="en-US" w:eastAsia="zh-CN"/>
            </w:rPr>
            <w:t>群链共生体系</w:t>
          </w:r>
          <w:r>
            <w:tab/>
          </w:r>
          <w:r>
            <w:fldChar w:fldCharType="begin"/>
          </w:r>
          <w:r>
            <w:instrText xml:space="preserve"> PAGEREF _Toc8806 \h </w:instrText>
          </w:r>
          <w:r>
            <w:fldChar w:fldCharType="separate"/>
          </w:r>
          <w:r>
            <w:t>65</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_Toc10222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五</w:t>
          </w:r>
          <w:r>
            <w:rPr>
              <w:rFonts w:ascii="Times New Roman" w:hAnsi="Times New Roman" w:cs="Times New Roman"/>
            </w:rPr>
            <w:t>、强化</w:t>
          </w:r>
          <w:r>
            <w:rPr>
              <w:rFonts w:hint="eastAsia" w:ascii="Times New Roman" w:hAnsi="Times New Roman" w:cs="Times New Roman"/>
              <w:lang w:val="en-US" w:eastAsia="zh-CN"/>
            </w:rPr>
            <w:t>雁阵效应</w:t>
          </w:r>
          <w:r>
            <w:rPr>
              <w:rFonts w:ascii="Times New Roman" w:hAnsi="Times New Roman" w:cs="Times New Roman"/>
            </w:rPr>
            <w:t>，提升融通发展能力</w:t>
          </w:r>
          <w:r>
            <w:tab/>
          </w:r>
          <w:r>
            <w:fldChar w:fldCharType="begin"/>
          </w:r>
          <w:r>
            <w:instrText xml:space="preserve"> PAGEREF _Toc10222 \h </w:instrText>
          </w:r>
          <w:r>
            <w:fldChar w:fldCharType="separate"/>
          </w:r>
          <w:r>
            <w:t>67</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_Toc5693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六、强化载体作用，不断完善平台功能</w:t>
          </w:r>
          <w:r>
            <w:tab/>
          </w:r>
          <w:r>
            <w:fldChar w:fldCharType="begin"/>
          </w:r>
          <w:r>
            <w:instrText xml:space="preserve"> PAGEREF _Toc5693 \h </w:instrText>
          </w:r>
          <w:r>
            <w:fldChar w:fldCharType="separate"/>
          </w:r>
          <w:r>
            <w:t>69</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_Toc18253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七</w:t>
          </w:r>
          <w:r>
            <w:rPr>
              <w:rFonts w:ascii="Times New Roman" w:hAnsi="Times New Roman" w:cs="Times New Roman"/>
            </w:rPr>
            <w:t>、强化开放合作，创共赢发展新局面</w:t>
          </w:r>
          <w:r>
            <w:tab/>
          </w:r>
          <w:r>
            <w:fldChar w:fldCharType="begin"/>
          </w:r>
          <w:r>
            <w:instrText xml:space="preserve"> PAGEREF _Toc18253 \h </w:instrText>
          </w:r>
          <w:r>
            <w:fldChar w:fldCharType="separate"/>
          </w:r>
          <w:r>
            <w:t>70</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_Toc5655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八</w:t>
          </w:r>
          <w:r>
            <w:rPr>
              <w:rFonts w:ascii="Times New Roman" w:hAnsi="Times New Roman" w:cs="Times New Roman"/>
            </w:rPr>
            <w:t>、强化要素保障，提高资源利用能效</w:t>
          </w:r>
          <w:r>
            <w:tab/>
          </w:r>
          <w:r>
            <w:fldChar w:fldCharType="begin"/>
          </w:r>
          <w:r>
            <w:instrText xml:space="preserve"> PAGEREF _Toc5655 \h </w:instrText>
          </w:r>
          <w:r>
            <w:fldChar w:fldCharType="separate"/>
          </w:r>
          <w:r>
            <w:t>73</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_Toc16890 </w:instrText>
          </w:r>
          <w:r>
            <w:rPr>
              <w:rFonts w:ascii="Times New Roman" w:hAnsi="Times New Roman" w:eastAsia="方正小标宋简体" w:cs="Times New Roman"/>
              <w:szCs w:val="44"/>
            </w:rPr>
            <w:fldChar w:fldCharType="separate"/>
          </w:r>
          <w:r>
            <w:rPr>
              <w:rFonts w:hint="eastAsia" w:ascii="Times New Roman" w:hAnsi="Times New Roman" w:cs="Times New Roman"/>
              <w:lang w:val="en-US" w:eastAsia="zh-CN"/>
            </w:rPr>
            <w:t>九</w:t>
          </w:r>
          <w:r>
            <w:rPr>
              <w:rFonts w:ascii="Times New Roman" w:hAnsi="Times New Roman" w:cs="Times New Roman"/>
            </w:rPr>
            <w:t>、</w:t>
          </w:r>
          <w:r>
            <w:rPr>
              <w:rFonts w:hint="eastAsia" w:ascii="Times New Roman" w:hAnsi="Times New Roman" w:cs="Times New Roman"/>
              <w:lang w:val="en-US" w:eastAsia="zh-CN"/>
            </w:rPr>
            <w:t>聚焦低碳发展</w:t>
          </w:r>
          <w:r>
            <w:rPr>
              <w:rFonts w:ascii="Times New Roman" w:hAnsi="Times New Roman" w:cs="Times New Roman"/>
            </w:rPr>
            <w:t>，</w:t>
          </w:r>
          <w:r>
            <w:rPr>
              <w:rFonts w:hint="eastAsia" w:ascii="Times New Roman" w:hAnsi="Times New Roman" w:cs="Times New Roman"/>
              <w:lang w:val="en-US" w:eastAsia="zh-CN"/>
            </w:rPr>
            <w:t>提高</w:t>
          </w:r>
          <w:r>
            <w:rPr>
              <w:rFonts w:ascii="Times New Roman" w:hAnsi="Times New Roman" w:cs="Times New Roman"/>
            </w:rPr>
            <w:t>绿色制造</w:t>
          </w:r>
          <w:r>
            <w:rPr>
              <w:rFonts w:hint="eastAsia" w:ascii="Times New Roman" w:hAnsi="Times New Roman" w:cs="Times New Roman"/>
              <w:lang w:val="en-US" w:eastAsia="zh-CN"/>
            </w:rPr>
            <w:t>水平</w:t>
          </w:r>
          <w:r>
            <w:tab/>
          </w:r>
          <w:r>
            <w:fldChar w:fldCharType="begin"/>
          </w:r>
          <w:r>
            <w:instrText xml:space="preserve"> PAGEREF _Toc16890 \h </w:instrText>
          </w:r>
          <w:r>
            <w:fldChar w:fldCharType="separate"/>
          </w:r>
          <w:r>
            <w:t>75</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_Toc31482 </w:instrText>
          </w:r>
          <w:r>
            <w:rPr>
              <w:rFonts w:ascii="Times New Roman" w:hAnsi="Times New Roman" w:eastAsia="方正小标宋简体" w:cs="Times New Roman"/>
              <w:szCs w:val="44"/>
            </w:rPr>
            <w:fldChar w:fldCharType="separate"/>
          </w:r>
          <w:r>
            <w:rPr>
              <w:rFonts w:ascii="Times New Roman" w:hAnsi="Times New Roman" w:cs="Times New Roman"/>
            </w:rPr>
            <w:t>十、优化企业服务，打造一流营商环境</w:t>
          </w:r>
          <w:r>
            <w:tab/>
          </w:r>
          <w:r>
            <w:fldChar w:fldCharType="begin"/>
          </w:r>
          <w:r>
            <w:instrText xml:space="preserve"> PAGEREF _Toc31482 \h </w:instrText>
          </w:r>
          <w:r>
            <w:fldChar w:fldCharType="separate"/>
          </w:r>
          <w:r>
            <w:t>78</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0"/>
            <w:tabs>
              <w:tab w:val="right" w:leader="dot" w:pos="8845"/>
            </w:tabs>
          </w:pPr>
          <w:r>
            <w:rPr>
              <w:rFonts w:hint="eastAsia" w:ascii="黑体" w:hAnsi="黑体" w:eastAsia="黑体" w:cs="黑体"/>
              <w:color w:val="000000" w:themeColor="text1"/>
              <w:szCs w:val="44"/>
              <w14:textFill>
                <w14:solidFill>
                  <w14:schemeClr w14:val="tx1"/>
                </w14:solidFill>
              </w14:textFill>
            </w:rPr>
            <w:fldChar w:fldCharType="begin"/>
          </w:r>
          <w:r>
            <w:rPr>
              <w:rFonts w:hint="eastAsia" w:ascii="黑体" w:hAnsi="黑体" w:eastAsia="黑体" w:cs="黑体"/>
              <w:color w:val="000000" w:themeColor="text1"/>
              <w:szCs w:val="44"/>
              <w14:textFill>
                <w14:solidFill>
                  <w14:schemeClr w14:val="tx1"/>
                </w14:solidFill>
              </w14:textFill>
            </w:rPr>
            <w:instrText xml:space="preserve"> HYPERLINK \l _Toc18866 </w:instrText>
          </w:r>
          <w:r>
            <w:rPr>
              <w:rFonts w:hint="eastAsia" w:ascii="黑体" w:hAnsi="黑体" w:eastAsia="黑体" w:cs="黑体"/>
              <w:color w:val="000000" w:themeColor="text1"/>
              <w:szCs w:val="44"/>
              <w14:textFill>
                <w14:solidFill>
                  <w14:schemeClr w14:val="tx1"/>
                </w14:solidFill>
              </w14:textFill>
            </w:rPr>
            <w:fldChar w:fldCharType="separate"/>
          </w:r>
          <w:r>
            <w:rPr>
              <w:rFonts w:hint="eastAsia" w:ascii="黑体" w:hAnsi="黑体" w:eastAsia="黑体" w:cs="黑体"/>
              <w:color w:val="000000" w:themeColor="text1"/>
              <w:szCs w:val="44"/>
              <w14:textFill>
                <w14:solidFill>
                  <w14:schemeClr w14:val="tx1"/>
                </w14:solidFill>
              </w14:textFill>
            </w:rPr>
            <w:t>第五章  政策保障</w:t>
          </w:r>
          <w:r>
            <w:rPr>
              <w:rFonts w:hint="eastAsia" w:ascii="黑体" w:hAnsi="黑体" w:eastAsia="黑体" w:cs="黑体"/>
              <w:color w:val="000000" w:themeColor="text1"/>
              <w:szCs w:val="44"/>
              <w14:textFill>
                <w14:solidFill>
                  <w14:schemeClr w14:val="tx1"/>
                </w14:solidFill>
              </w14:textFill>
            </w:rPr>
            <w:tab/>
          </w:r>
          <w:r>
            <w:rPr>
              <w:rFonts w:hint="eastAsia" w:ascii="黑体" w:hAnsi="黑体" w:eastAsia="黑体" w:cs="黑体"/>
              <w:color w:val="000000" w:themeColor="text1"/>
              <w:szCs w:val="44"/>
              <w14:textFill>
                <w14:solidFill>
                  <w14:schemeClr w14:val="tx1"/>
                </w14:solidFill>
              </w14:textFill>
            </w:rPr>
            <w:fldChar w:fldCharType="begin"/>
          </w:r>
          <w:r>
            <w:rPr>
              <w:rFonts w:hint="eastAsia" w:ascii="黑体" w:hAnsi="黑体" w:eastAsia="黑体" w:cs="黑体"/>
              <w:color w:val="000000" w:themeColor="text1"/>
              <w:szCs w:val="44"/>
              <w14:textFill>
                <w14:solidFill>
                  <w14:schemeClr w14:val="tx1"/>
                </w14:solidFill>
              </w14:textFill>
            </w:rPr>
            <w:instrText xml:space="preserve"> PAGEREF _Toc18866 \h </w:instrText>
          </w:r>
          <w:r>
            <w:rPr>
              <w:rFonts w:hint="eastAsia" w:ascii="黑体" w:hAnsi="黑体" w:eastAsia="黑体" w:cs="黑体"/>
              <w:color w:val="000000" w:themeColor="text1"/>
              <w:szCs w:val="44"/>
              <w14:textFill>
                <w14:solidFill>
                  <w14:schemeClr w14:val="tx1"/>
                </w14:solidFill>
              </w14:textFill>
            </w:rPr>
            <w:fldChar w:fldCharType="separate"/>
          </w:r>
          <w:r>
            <w:rPr>
              <w:rFonts w:hint="eastAsia" w:ascii="黑体" w:hAnsi="黑体" w:eastAsia="黑体" w:cs="黑体"/>
              <w:color w:val="000000" w:themeColor="text1"/>
              <w:szCs w:val="44"/>
              <w14:textFill>
                <w14:solidFill>
                  <w14:schemeClr w14:val="tx1"/>
                </w14:solidFill>
              </w14:textFill>
            </w:rPr>
            <w:t>80</w:t>
          </w:r>
          <w:r>
            <w:rPr>
              <w:rFonts w:hint="eastAsia" w:ascii="黑体" w:hAnsi="黑体" w:eastAsia="黑体" w:cs="黑体"/>
              <w:color w:val="000000" w:themeColor="text1"/>
              <w:szCs w:val="44"/>
              <w14:textFill>
                <w14:solidFill>
                  <w14:schemeClr w14:val="tx1"/>
                </w14:solidFill>
              </w14:textFill>
            </w:rPr>
            <w:fldChar w:fldCharType="end"/>
          </w:r>
          <w:r>
            <w:rPr>
              <w:rFonts w:hint="eastAsia" w:ascii="黑体" w:hAnsi="黑体" w:eastAsia="黑体" w:cs="黑体"/>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_Toc8530 </w:instrText>
          </w:r>
          <w:r>
            <w:rPr>
              <w:rFonts w:ascii="Times New Roman" w:hAnsi="Times New Roman" w:eastAsia="方正小标宋简体" w:cs="Times New Roman"/>
              <w:szCs w:val="44"/>
            </w:rPr>
            <w:fldChar w:fldCharType="separate"/>
          </w:r>
          <w:r>
            <w:rPr>
              <w:rFonts w:ascii="Times New Roman" w:hAnsi="Times New Roman" w:cs="Times New Roman"/>
            </w:rPr>
            <w:t>一、加强组织实施</w:t>
          </w:r>
          <w:r>
            <w:tab/>
          </w:r>
          <w:r>
            <w:fldChar w:fldCharType="begin"/>
          </w:r>
          <w:r>
            <w:instrText xml:space="preserve"> PAGEREF _Toc8530 \h </w:instrText>
          </w:r>
          <w:r>
            <w:fldChar w:fldCharType="separate"/>
          </w:r>
          <w:r>
            <w:t>80</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_Toc31813 </w:instrText>
          </w:r>
          <w:r>
            <w:rPr>
              <w:rFonts w:ascii="Times New Roman" w:hAnsi="Times New Roman" w:eastAsia="方正小标宋简体" w:cs="Times New Roman"/>
              <w:szCs w:val="44"/>
            </w:rPr>
            <w:fldChar w:fldCharType="separate"/>
          </w:r>
          <w:r>
            <w:rPr>
              <w:rFonts w:ascii="Times New Roman" w:hAnsi="Times New Roman" w:cs="Times New Roman"/>
            </w:rPr>
            <w:t>二、强化项目支撑</w:t>
          </w:r>
          <w:r>
            <w:tab/>
          </w:r>
          <w:r>
            <w:fldChar w:fldCharType="begin"/>
          </w:r>
          <w:r>
            <w:instrText xml:space="preserve"> PAGEREF _Toc31813 \h </w:instrText>
          </w:r>
          <w:r>
            <w:fldChar w:fldCharType="separate"/>
          </w:r>
          <w:r>
            <w:t>80</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pStyle w:val="11"/>
            <w:tabs>
              <w:tab w:val="right" w:leader="dot" w:pos="8845"/>
            </w:tabs>
          </w:pPr>
          <w:r>
            <w:rPr>
              <w:rFonts w:ascii="Times New Roman" w:hAnsi="Times New Roman" w:eastAsia="方正小标宋简体" w:cs="Times New Roman"/>
              <w:color w:val="000000" w:themeColor="text1"/>
              <w:szCs w:val="44"/>
              <w14:textFill>
                <w14:solidFill>
                  <w14:schemeClr w14:val="tx1"/>
                </w14:solidFill>
              </w14:textFill>
            </w:rPr>
            <w:fldChar w:fldCharType="begin"/>
          </w:r>
          <w:r>
            <w:rPr>
              <w:rFonts w:ascii="Times New Roman" w:hAnsi="Times New Roman" w:eastAsia="方正小标宋简体" w:cs="Times New Roman"/>
              <w:szCs w:val="44"/>
            </w:rPr>
            <w:instrText xml:space="preserve"> HYPERLINK \l _Toc32355 </w:instrText>
          </w:r>
          <w:r>
            <w:rPr>
              <w:rFonts w:ascii="Times New Roman" w:hAnsi="Times New Roman" w:eastAsia="方正小标宋简体" w:cs="Times New Roman"/>
              <w:szCs w:val="44"/>
            </w:rPr>
            <w:fldChar w:fldCharType="separate"/>
          </w:r>
          <w:r>
            <w:rPr>
              <w:rFonts w:ascii="Times New Roman" w:hAnsi="Times New Roman" w:cs="Times New Roman"/>
            </w:rPr>
            <w:t>三、</w:t>
          </w:r>
          <w:r>
            <w:rPr>
              <w:rFonts w:hint="eastAsia" w:ascii="Times New Roman" w:hAnsi="Times New Roman" w:cs="Times New Roman"/>
            </w:rPr>
            <w:t>严格</w:t>
          </w:r>
          <w:r>
            <w:rPr>
              <w:rFonts w:ascii="Times New Roman" w:hAnsi="Times New Roman" w:cs="Times New Roman"/>
            </w:rPr>
            <w:t>监测考核</w:t>
          </w:r>
          <w:r>
            <w:tab/>
          </w:r>
          <w:r>
            <w:fldChar w:fldCharType="begin"/>
          </w:r>
          <w:r>
            <w:instrText xml:space="preserve"> PAGEREF _Toc32355 \h </w:instrText>
          </w:r>
          <w:r>
            <w:fldChar w:fldCharType="separate"/>
          </w:r>
          <w:r>
            <w:t>81</w:t>
          </w:r>
          <w:r>
            <w:fldChar w:fldCharType="end"/>
          </w:r>
          <w:r>
            <w:rPr>
              <w:rFonts w:ascii="Times New Roman" w:hAnsi="Times New Roman" w:eastAsia="方正小标宋简体" w:cs="Times New Roman"/>
              <w:color w:val="000000" w:themeColor="text1"/>
              <w:szCs w:val="44"/>
              <w14:textFill>
                <w14:solidFill>
                  <w14:schemeClr w14:val="tx1"/>
                </w14:solidFill>
              </w14:textFill>
            </w:rPr>
            <w:fldChar w:fldCharType="end"/>
          </w:r>
        </w:p>
        <w:p>
          <w:pPr>
            <w:rPr>
              <w:rFonts w:ascii="Times New Roman" w:hAnsi="Times New Roman" w:eastAsia="方正小标宋简体" w:cs="Times New Roman"/>
              <w:color w:val="000000" w:themeColor="text1"/>
              <w:sz w:val="44"/>
              <w:szCs w:val="44"/>
              <w14:textFill>
                <w14:solidFill>
                  <w14:schemeClr w14:val="tx1"/>
                </w14:solidFill>
              </w14:textFill>
            </w:rPr>
            <w:sectPr>
              <w:footerReference r:id="rId7" w:type="default"/>
              <w:pgSz w:w="11906" w:h="16838"/>
              <w:pgMar w:top="2098" w:right="1474" w:bottom="1984" w:left="1474" w:header="851" w:footer="1587" w:gutter="113"/>
              <w:pgNumType w:fmt="decimal" w:start="1"/>
              <w:cols w:space="0" w:num="1"/>
              <w:docGrid w:type="linesAndChars" w:linePitch="579" w:charSpace="-842"/>
            </w:sectPr>
          </w:pPr>
          <w:r>
            <w:rPr>
              <w:rFonts w:ascii="Times New Roman" w:hAnsi="Times New Roman" w:eastAsia="方正小标宋简体" w:cs="Times New Roman"/>
              <w:color w:val="000000" w:themeColor="text1"/>
              <w:szCs w:val="44"/>
              <w14:textFill>
                <w14:solidFill>
                  <w14:schemeClr w14:val="tx1"/>
                </w14:solidFill>
              </w14:textFill>
            </w:rPr>
            <w:fldChar w:fldCharType="end"/>
          </w:r>
        </w:p>
      </w:sdtContent>
    </w:sdt>
    <w:p>
      <w:pPr>
        <w:pStyle w:val="4"/>
        <w:rPr>
          <w:rFonts w:hint="default" w:ascii="Times New Roman" w:hAnsi="Times New Roman" w:eastAsia="方正小标宋简体" w:cs="Times New Roman"/>
          <w:color w:val="000000" w:themeColor="text1"/>
          <w:lang w:val="en-US" w:eastAsia="zh-CN"/>
          <w14:textFill>
            <w14:solidFill>
              <w14:schemeClr w14:val="tx1"/>
            </w14:solidFill>
          </w14:textFill>
        </w:rPr>
      </w:pPr>
      <w:bookmarkStart w:id="15" w:name="_Toc19332"/>
      <w:bookmarkStart w:id="16" w:name="_Toc62834768"/>
      <w:bookmarkStart w:id="17" w:name="_Toc1693"/>
      <w:r>
        <w:rPr>
          <w:rFonts w:ascii="Times New Roman" w:hAnsi="Times New Roman" w:cs="Times New Roman"/>
          <w:color w:val="000000" w:themeColor="text1"/>
          <w14:textFill>
            <w14:solidFill>
              <w14:schemeClr w14:val="tx1"/>
            </w14:solidFill>
          </w14:textFill>
        </w:rPr>
        <w:t xml:space="preserve">第一章  </w:t>
      </w:r>
      <w:bookmarkEnd w:id="15"/>
      <w:bookmarkEnd w:id="16"/>
      <w:r>
        <w:rPr>
          <w:rFonts w:ascii="Times New Roman" w:hAnsi="Times New Roman" w:cs="Times New Roman"/>
        </w:rPr>
        <w:t>发展回顾与形势分析</w:t>
      </w:r>
      <w:bookmarkEnd w:id="17"/>
    </w:p>
    <w:p>
      <w:pPr>
        <w:rPr>
          <w:rFonts w:ascii="Times New Roman" w:hAnsi="Times New Roman" w:cs="Times New Roman"/>
          <w:color w:val="000000" w:themeColor="text1"/>
          <w14:textFill>
            <w14:solidFill>
              <w14:schemeClr w14:val="tx1"/>
            </w14:solidFill>
          </w14:textFill>
        </w:rPr>
      </w:pP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18" w:name="_Toc62834769"/>
      <w:bookmarkStart w:id="19" w:name="_Toc19012"/>
      <w:bookmarkStart w:id="20" w:name="_Toc15951"/>
      <w:r>
        <w:rPr>
          <w:rFonts w:ascii="Times New Roman" w:hAnsi="Times New Roman" w:cs="Times New Roman"/>
          <w:color w:val="000000" w:themeColor="text1"/>
          <w14:textFill>
            <w14:solidFill>
              <w14:schemeClr w14:val="tx1"/>
            </w14:solidFill>
          </w14:textFill>
        </w:rPr>
        <w:t>一、“十三五”</w:t>
      </w:r>
      <w:bookmarkEnd w:id="18"/>
      <w:r>
        <w:rPr>
          <w:rFonts w:ascii="Times New Roman" w:hAnsi="Times New Roman" w:cs="Times New Roman"/>
          <w:color w:val="000000" w:themeColor="text1"/>
          <w14:textFill>
            <w14:solidFill>
              <w14:schemeClr w14:val="tx1"/>
            </w14:solidFill>
          </w14:textFill>
        </w:rPr>
        <w:t>发展回顾</w:t>
      </w:r>
      <w:bookmarkEnd w:id="19"/>
      <w:bookmarkEnd w:id="20"/>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“十三五”时期，面对错综复杂的外部环境和艰巨繁重的改革发展任务，全市工业战线以习近平新时代中国特色社会主义思想为指导，深入贯彻黄河流域生态保护和高质量发展战略，坚持稳中求进工作总基调，</w:t>
      </w:r>
      <w:r>
        <w:rPr>
          <w:rFonts w:ascii="Times New Roman" w:hAnsi="Times New Roman" w:cs="Times New Roman"/>
          <w:color w:val="000000" w:themeColor="text1"/>
          <w:lang w:val="zh-TW" w:eastAsia="zh-TW"/>
          <w14:textFill>
            <w14:solidFill>
              <w14:schemeClr w14:val="tx1"/>
            </w14:solidFill>
          </w14:textFill>
        </w:rPr>
        <w:t>紧紧围绕资源型城市转型，</w:t>
      </w:r>
      <w:r>
        <w:rPr>
          <w:rFonts w:ascii="Times New Roman" w:hAnsi="Times New Roman" w:cs="Times New Roman"/>
          <w:color w:val="000000" w:themeColor="text1"/>
          <w14:textFill>
            <w14:solidFill>
              <w14:schemeClr w14:val="tx1"/>
            </w14:solidFill>
          </w14:textFill>
        </w:rPr>
        <w:t>以新发展理念为引领，以供给侧结构性改革为主线，以制造业高质量发展为主攻方向，强力实施“产业强市、生态立市、创新兴市、开放活市”四大战略，工业经济高质量发展稳步有力，</w:t>
      </w:r>
      <w:r>
        <w:rPr>
          <w:rFonts w:hint="eastAsia" w:ascii="Times New Roman" w:hAnsi="Times New Roman" w:cs="Times New Roman"/>
          <w:color w:val="000000" w:themeColor="text1"/>
          <w:lang w:val="en-US" w:eastAsia="zh-CN"/>
          <w14:textFill>
            <w14:solidFill>
              <w14:schemeClr w14:val="tx1"/>
            </w14:solidFill>
          </w14:textFill>
        </w:rPr>
        <w:t>以传统产业为基础、新兴产业为支柱的</w:t>
      </w:r>
      <w:r>
        <w:rPr>
          <w:rFonts w:ascii="Times New Roman" w:hAnsi="Times New Roman" w:cs="Times New Roman"/>
          <w:color w:val="000000" w:themeColor="text1"/>
          <w14:textFill>
            <w14:solidFill>
              <w14:schemeClr w14:val="tx1"/>
            </w14:solidFill>
          </w14:textFill>
        </w:rPr>
        <w:t>产业</w:t>
      </w:r>
      <w:r>
        <w:rPr>
          <w:rFonts w:hint="eastAsia" w:ascii="Times New Roman" w:hAnsi="Times New Roman" w:cs="Times New Roman"/>
          <w:color w:val="000000" w:themeColor="text1"/>
          <w:lang w:val="en-US" w:eastAsia="zh-CN"/>
          <w14:textFill>
            <w14:solidFill>
              <w14:schemeClr w14:val="tx1"/>
            </w14:solidFill>
          </w14:textFill>
        </w:rPr>
        <w:t>体系初步形成</w:t>
      </w:r>
      <w:r>
        <w:rPr>
          <w:rFonts w:ascii="Times New Roman" w:hAnsi="Times New Roman" w:cs="Times New Roman"/>
          <w:color w:val="000000" w:themeColor="text1"/>
          <w14:textFill>
            <w14:solidFill>
              <w14:schemeClr w14:val="tx1"/>
            </w14:solidFill>
          </w14:textFill>
        </w:rPr>
        <w:t>，企业核心竞争力进一步增强。互联网、大数据、云计算等新一代信息技术加速赋能制造业，转型升级迈出坚实步伐，产业基础更加稳固。</w:t>
      </w:r>
    </w:p>
    <w:p>
      <w:pPr>
        <w:ind w:firstLine="643" w:firstLineChars="200"/>
        <w:rPr>
          <w:rFonts w:hint="eastAsia"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工业经济稳中有进。</w:t>
      </w:r>
      <w:r>
        <w:rPr>
          <w:rFonts w:ascii="Times New Roman" w:hAnsi="Times New Roman" w:cs="Times New Roman"/>
          <w:color w:val="000000" w:themeColor="text1"/>
          <w14:textFill>
            <w14:solidFill>
              <w14:schemeClr w14:val="tx1"/>
            </w14:solidFill>
          </w14:textFill>
        </w:rPr>
        <w:t>以“产业强市”战略为指导，纵深推进工业经济转型升级，</w:t>
      </w:r>
      <w:r>
        <w:rPr>
          <w:rFonts w:hint="eastAsia" w:ascii="Times New Roman" w:hAnsi="Times New Roman" w:cs="Times New Roman"/>
          <w:color w:val="000000" w:themeColor="text1"/>
          <w:lang w:val="en-US" w:eastAsia="zh-CN"/>
          <w14:textFill>
            <w14:solidFill>
              <w14:schemeClr w14:val="tx1"/>
            </w14:solidFill>
          </w14:textFill>
        </w:rPr>
        <w:t>做大做强</w:t>
      </w:r>
      <w:r>
        <w:rPr>
          <w:rFonts w:ascii="Times New Roman" w:hAnsi="Times New Roman" w:cs="Times New Roman"/>
          <w:color w:val="000000" w:themeColor="text1"/>
          <w14:textFill>
            <w14:solidFill>
              <w14:schemeClr w14:val="tx1"/>
            </w14:solidFill>
          </w14:textFill>
        </w:rPr>
        <w:t>石油化工、装备制造、食品加工</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现代家居、羽绒制品</w:t>
      </w:r>
      <w:r>
        <w:rPr>
          <w:rFonts w:hint="eastAsia" w:ascii="Times New Roman" w:hAnsi="Times New Roman" w:cs="Times New Roman"/>
          <w:color w:val="000000" w:themeColor="text1"/>
          <w:lang w:val="en-US" w:eastAsia="zh-CN"/>
          <w14:textFill>
            <w14:solidFill>
              <w14:schemeClr w14:val="tx1"/>
            </w14:solidFill>
          </w14:textFill>
        </w:rPr>
        <w:t>5大传统产业</w:t>
      </w:r>
      <w:r>
        <w:rPr>
          <w:rFonts w:ascii="Times New Roman" w:hAnsi="Times New Roman" w:cs="Times New Roman"/>
          <w:color w:val="000000" w:themeColor="text1"/>
          <w14:textFill>
            <w14:solidFill>
              <w14:schemeClr w14:val="tx1"/>
            </w14:solidFill>
          </w14:textFill>
        </w:rPr>
        <w:t>，培育</w:t>
      </w:r>
      <w:r>
        <w:rPr>
          <w:rFonts w:hint="eastAsia" w:ascii="Times New Roman" w:hAnsi="Times New Roman" w:cs="Times New Roman"/>
          <w:color w:val="000000" w:themeColor="text1"/>
          <w:lang w:val="en-US" w:eastAsia="zh-CN"/>
          <w14:textFill>
            <w14:solidFill>
              <w14:schemeClr w14:val="tx1"/>
            </w14:solidFill>
          </w14:textFill>
        </w:rPr>
        <w:t>壮大</w:t>
      </w:r>
      <w:r>
        <w:rPr>
          <w:rFonts w:ascii="Times New Roman" w:hAnsi="Times New Roman" w:cs="Times New Roman"/>
          <w:color w:val="000000" w:themeColor="text1"/>
          <w14:textFill>
            <w14:solidFill>
              <w14:schemeClr w14:val="tx1"/>
            </w14:solidFill>
          </w14:textFill>
        </w:rPr>
        <w:t>新材料、新一代信息技术</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节能环保、新能源4大</w:t>
      </w:r>
      <w:r>
        <w:rPr>
          <w:rFonts w:ascii="Times New Roman" w:hAnsi="Times New Roman" w:cs="Times New Roman"/>
          <w:color w:val="000000" w:themeColor="text1"/>
          <w14:textFill>
            <w14:solidFill>
              <w14:schemeClr w14:val="tx1"/>
            </w14:solidFill>
          </w14:textFill>
        </w:rPr>
        <w:t>新兴产业，工业整体水平</w:t>
      </w:r>
      <w:r>
        <w:rPr>
          <w:rFonts w:ascii="Times New Roman" w:hAnsi="Times New Roman" w:cs="Times New Roman"/>
          <w:color w:val="000000" w:themeColor="text1"/>
          <w:shd w:val="clear" w:fill="FFFFFF" w:themeFill="background1"/>
          <w14:textFill>
            <w14:solidFill>
              <w14:schemeClr w14:val="tx1"/>
            </w14:solidFill>
          </w14:textFill>
        </w:rPr>
        <w:t>上升，对全市经济发展起到了顶梁柱、压舱石、定盘星作用。</w:t>
      </w:r>
      <w:r>
        <w:rPr>
          <w:rFonts w:ascii="Times New Roman" w:hAnsi="Times New Roman" w:cs="Times New Roman"/>
          <w:color w:val="000000" w:themeColor="text1"/>
          <w:highlight w:val="none"/>
          <w:shd w:val="clear" w:fill="FFFFFF" w:themeFill="background1"/>
          <w14:textFill>
            <w14:solidFill>
              <w14:schemeClr w14:val="tx1"/>
            </w14:solidFill>
          </w14:textFill>
        </w:rPr>
        <w:t>截止“十三五”末，全市工业生产总值达到</w:t>
      </w:r>
      <w:r>
        <w:rPr>
          <w:rFonts w:hint="eastAsia" w:ascii="Times New Roman" w:hAnsi="Times New Roman" w:cs="Times New Roman"/>
          <w:color w:val="000000" w:themeColor="text1"/>
          <w:highlight w:val="none"/>
          <w:shd w:val="clear" w:fill="FFFFFF" w:themeFill="background1"/>
          <w:lang w:val="en-US" w:eastAsia="zh-CN"/>
          <w14:textFill>
            <w14:solidFill>
              <w14:schemeClr w14:val="tx1"/>
            </w14:solidFill>
          </w14:textFill>
        </w:rPr>
        <w:t>***</w:t>
      </w:r>
      <w:r>
        <w:rPr>
          <w:rFonts w:ascii="Times New Roman" w:hAnsi="Times New Roman" w:cs="Times New Roman"/>
          <w:color w:val="000000" w:themeColor="text1"/>
          <w:highlight w:val="none"/>
          <w:shd w:val="clear" w:fill="FFFFFF" w:themeFill="background1"/>
          <w14:textFill>
            <w14:solidFill>
              <w14:schemeClr w14:val="tx1"/>
            </w14:solidFill>
          </w14:textFill>
        </w:rPr>
        <w:t>亿元，占GDP的比重达到</w:t>
      </w:r>
      <w:r>
        <w:rPr>
          <w:rFonts w:hint="eastAsia" w:ascii="Times New Roman" w:hAnsi="Times New Roman" w:cs="Times New Roman"/>
          <w:color w:val="000000" w:themeColor="text1"/>
          <w:highlight w:val="none"/>
          <w:shd w:val="clear" w:fill="FFFFFF" w:themeFill="background1"/>
          <w:lang w:val="en-US" w:eastAsia="zh-CN"/>
          <w14:textFill>
            <w14:solidFill>
              <w14:schemeClr w14:val="tx1"/>
            </w14:solidFill>
          </w14:textFill>
        </w:rPr>
        <w:t>28.4</w:t>
      </w:r>
      <w:r>
        <w:rPr>
          <w:rFonts w:ascii="Times New Roman" w:hAnsi="Times New Roman" w:cs="Times New Roman"/>
          <w:color w:val="000000" w:themeColor="text1"/>
          <w:highlight w:val="none"/>
          <w:shd w:val="clear" w:fill="FFFFFF" w:themeFill="background1"/>
          <w14:textFill>
            <w14:solidFill>
              <w14:schemeClr w14:val="tx1"/>
            </w14:solidFill>
          </w14:textFill>
        </w:rPr>
        <w:t>%。“十三五”期间，规模以上工业增加值年均增速</w:t>
      </w:r>
      <w:r>
        <w:rPr>
          <w:rFonts w:hint="eastAsia" w:ascii="Times New Roman" w:hAnsi="Times New Roman" w:cs="Times New Roman"/>
          <w:color w:val="000000" w:themeColor="text1"/>
          <w:highlight w:val="none"/>
          <w:shd w:val="clear" w:fill="FFFFFF" w:themeFill="background1"/>
          <w:lang w:val="en-US" w:eastAsia="zh-CN"/>
          <w14:textFill>
            <w14:solidFill>
              <w14:schemeClr w14:val="tx1"/>
            </w14:solidFill>
          </w14:textFill>
        </w:rPr>
        <w:t>7.1</w:t>
      </w:r>
      <w:r>
        <w:rPr>
          <w:rFonts w:ascii="Times New Roman" w:hAnsi="Times New Roman" w:cs="Times New Roman"/>
          <w:color w:val="000000" w:themeColor="text1"/>
          <w:highlight w:val="none"/>
          <w:shd w:val="clear" w:fill="FFFFFF" w:themeFill="background1"/>
          <w14:textFill>
            <w14:solidFill>
              <w14:schemeClr w14:val="tx1"/>
            </w14:solidFill>
          </w14:textFill>
        </w:rPr>
        <w:t>%，高出全省平均增速0.</w:t>
      </w:r>
      <w:r>
        <w:rPr>
          <w:rFonts w:hint="eastAsia" w:ascii="Times New Roman" w:hAnsi="Times New Roman" w:cs="Times New Roman"/>
          <w:color w:val="000000" w:themeColor="text1"/>
          <w:highlight w:val="none"/>
          <w:shd w:val="clear" w:fill="FFFFFF" w:themeFill="background1"/>
          <w:lang w:val="en-US" w:eastAsia="zh-CN"/>
          <w14:textFill>
            <w14:solidFill>
              <w14:schemeClr w14:val="tx1"/>
            </w14:solidFill>
          </w14:textFill>
        </w:rPr>
        <w:t>9</w:t>
      </w:r>
      <w:r>
        <w:rPr>
          <w:rFonts w:ascii="Times New Roman" w:hAnsi="Times New Roman" w:cs="Times New Roman"/>
          <w:color w:val="000000" w:themeColor="text1"/>
          <w:highlight w:val="none"/>
          <w:shd w:val="clear" w:fill="FFFFFF" w:themeFill="background1"/>
          <w14:textFill>
            <w14:solidFill>
              <w14:schemeClr w14:val="tx1"/>
            </w14:solidFill>
          </w14:textFill>
        </w:rPr>
        <w:t>个百分点；工业对全市经济增长的贡献率</w:t>
      </w:r>
      <w:r>
        <w:rPr>
          <w:rFonts w:hint="eastAsia" w:ascii="Times New Roman" w:hAnsi="Times New Roman" w:cs="Times New Roman"/>
          <w:color w:val="000000" w:themeColor="text1"/>
          <w:highlight w:val="none"/>
          <w:shd w:val="clear" w:fill="FFFFFF" w:themeFill="background1"/>
          <w:lang w:val="en-US" w:eastAsia="zh-CN"/>
          <w14:textFill>
            <w14:solidFill>
              <w14:schemeClr w14:val="tx1"/>
            </w14:solidFill>
          </w14:textFill>
        </w:rPr>
        <w:t>50.5</w:t>
      </w:r>
      <w:r>
        <w:rPr>
          <w:rFonts w:ascii="Times New Roman" w:hAnsi="Times New Roman" w:cs="Times New Roman"/>
          <w:color w:val="000000" w:themeColor="text1"/>
          <w:highlight w:val="none"/>
          <w:shd w:val="clear" w:fill="FFFFFF" w:themeFill="background1"/>
          <w14:textFill>
            <w14:solidFill>
              <w14:schemeClr w14:val="tx1"/>
            </w14:solidFill>
          </w14:textFill>
        </w:rPr>
        <w:t>%。</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工业项目建设成效显著。</w:t>
      </w:r>
      <w:r>
        <w:rPr>
          <w:rFonts w:ascii="Times New Roman" w:hAnsi="Times New Roman" w:cs="Times New Roman"/>
          <w:color w:val="000000" w:themeColor="text1"/>
          <w14:textFill>
            <w14:solidFill>
              <w14:schemeClr w14:val="tx1"/>
            </w14:solidFill>
          </w14:textFill>
        </w:rPr>
        <w:t>“十三五”期间，累计新建亿元以上工业项目</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个，完成投资</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亿元，</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个项目建成投产。通用电气、中建材等项目落地投产，实现与国内外500强企业深度合作，三棵树、东方雨虹等一批国内涂料龙头企业相继落户濮阳，壮大了涂料产业园规模。沃森超高分子量聚乙烯奠定了濮阳市化工产业向高端化发展的基础</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盛通聚源聚碳酸酯产品填补了省内高端工程塑料的空白</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天能集团项目建成投产</w:t>
      </w:r>
      <w:r>
        <w:rPr>
          <w:rFonts w:hint="eastAsia" w:ascii="Times New Roman" w:hAnsi="Times New Roman" w:cs="Times New Roman"/>
          <w:color w:val="000000" w:themeColor="text1"/>
          <w:lang w:eastAsia="zh-CN"/>
          <w14:textFill>
            <w14:solidFill>
              <w14:schemeClr w14:val="tx1"/>
            </w14:solidFill>
          </w14:textFill>
        </w:rPr>
        <w:t>；曦江生物</w:t>
      </w:r>
      <w:r>
        <w:rPr>
          <w:rFonts w:hint="eastAsia" w:ascii="Times New Roman" w:hAnsi="Times New Roman" w:cs="Times New Roman"/>
          <w:color w:val="000000" w:themeColor="text1"/>
          <w:lang w:val="en-US" w:eastAsia="zh-CN"/>
          <w14:textFill>
            <w14:solidFill>
              <w14:schemeClr w14:val="tx1"/>
            </w14:solidFill>
          </w14:textFill>
        </w:rPr>
        <w:t>等一批生物降解材料</w:t>
      </w:r>
      <w:r>
        <w:rPr>
          <w:rFonts w:hint="eastAsia" w:ascii="Times New Roman" w:hAnsi="Times New Roman" w:cs="Times New Roman"/>
          <w:color w:val="000000" w:themeColor="text1"/>
          <w:lang w:eastAsia="zh-CN"/>
          <w14:textFill>
            <w14:solidFill>
              <w14:schemeClr w14:val="tx1"/>
            </w14:solidFill>
          </w14:textFill>
        </w:rPr>
        <w:t>项目</w:t>
      </w:r>
      <w:r>
        <w:rPr>
          <w:rFonts w:hint="eastAsia" w:ascii="Times New Roman" w:hAnsi="Times New Roman" w:cs="Times New Roman"/>
          <w:color w:val="000000" w:themeColor="text1"/>
          <w:lang w:val="en-US" w:eastAsia="zh-CN"/>
          <w14:textFill>
            <w14:solidFill>
              <w14:schemeClr w14:val="tx1"/>
            </w14:solidFill>
          </w14:textFill>
        </w:rPr>
        <w:t>竣工投产，促使其由集聚向</w:t>
      </w:r>
      <w:r>
        <w:rPr>
          <w:rFonts w:ascii="Times New Roman" w:hAnsi="Times New Roman" w:cs="Times New Roman"/>
          <w:color w:val="000000" w:themeColor="text1"/>
          <w14:textFill>
            <w14:solidFill>
              <w14:schemeClr w14:val="tx1"/>
            </w14:solidFill>
          </w14:textFill>
        </w:rPr>
        <w:t>集群化发展，南乐县生物基产业集群被国家批复为全国两家之一的国家级生物基材料产业示范集群。</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产业定位更加清晰。</w:t>
      </w:r>
      <w:r>
        <w:rPr>
          <w:rFonts w:ascii="Times New Roman" w:hAnsi="Times New Roman" w:cs="Times New Roman"/>
          <w:color w:val="000000" w:themeColor="text1"/>
          <w14:textFill>
            <w14:solidFill>
              <w14:schemeClr w14:val="tx1"/>
            </w14:solidFill>
          </w14:textFill>
        </w:rPr>
        <w:t>“十三五”期间，化工、装备制造、食品加工</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现代家居、羽绒及制品、生物</w:t>
      </w:r>
      <w:r>
        <w:rPr>
          <w:rFonts w:hint="eastAsia" w:ascii="Times New Roman" w:hAnsi="Times New Roman" w:cs="Times New Roman"/>
          <w:color w:val="000000" w:themeColor="text1"/>
          <w:lang w:val="en-US" w:eastAsia="zh-CN"/>
          <w14:textFill>
            <w14:solidFill>
              <w14:schemeClr w14:val="tx1"/>
            </w14:solidFill>
          </w14:textFill>
        </w:rPr>
        <w:t>降解</w:t>
      </w:r>
      <w:r>
        <w:rPr>
          <w:rFonts w:ascii="Times New Roman" w:hAnsi="Times New Roman" w:cs="Times New Roman"/>
          <w:color w:val="000000" w:themeColor="text1"/>
          <w14:textFill>
            <w14:solidFill>
              <w14:schemeClr w14:val="tx1"/>
            </w14:solidFill>
          </w14:textFill>
        </w:rPr>
        <w:t>材料产业得到快速发展。</w:t>
      </w:r>
      <w:r>
        <w:rPr>
          <w:rFonts w:ascii="Times New Roman" w:hAnsi="Times New Roman" w:cs="Times New Roman"/>
          <w:b/>
          <w:bCs/>
          <w:color w:val="000000" w:themeColor="text1"/>
          <w14:textFill>
            <w14:solidFill>
              <w14:schemeClr w14:val="tx1"/>
            </w14:solidFill>
          </w14:textFill>
        </w:rPr>
        <w:t>化工产业</w:t>
      </w:r>
      <w:r>
        <w:rPr>
          <w:rFonts w:ascii="Times New Roman" w:hAnsi="Times New Roman" w:cs="Times New Roman"/>
          <w:color w:val="000000" w:themeColor="text1"/>
          <w14:textFill>
            <w14:solidFill>
              <w14:schemeClr w14:val="tx1"/>
            </w14:solidFill>
          </w14:textFill>
        </w:rPr>
        <w:t>，以新型化工基地为载体，化工新材料、专用化学品、功能化学品产业链基本形成，已成为濮阳工业经济重要增长极。</w:t>
      </w:r>
      <w:r>
        <w:rPr>
          <w:rFonts w:ascii="Times New Roman" w:hAnsi="Times New Roman" w:cs="Times New Roman"/>
          <w:b/>
          <w:bCs/>
          <w:color w:val="000000" w:themeColor="text1"/>
          <w14:textFill>
            <w14:solidFill>
              <w14:schemeClr w14:val="tx1"/>
            </w14:solidFill>
          </w14:textFill>
        </w:rPr>
        <w:t>装备制造产业</w:t>
      </w:r>
      <w:r>
        <w:rPr>
          <w:rFonts w:ascii="Times New Roman" w:hAnsi="Times New Roman" w:cs="Times New Roman"/>
          <w:color w:val="000000" w:themeColor="text1"/>
          <w14:textFill>
            <w14:solidFill>
              <w14:schemeClr w14:val="tx1"/>
            </w14:solidFill>
          </w14:textFill>
        </w:rPr>
        <w:t>，华龙区油气装备特色突出，台前县汽车零部件规范发展，濮阳县风电装备异军突起，全国重要的风电设备制造基地初步形成。</w:t>
      </w:r>
      <w:r>
        <w:rPr>
          <w:rFonts w:ascii="Times New Roman" w:hAnsi="Times New Roman" w:cs="Times New Roman"/>
          <w:b/>
          <w:bCs/>
          <w:color w:val="000000" w:themeColor="text1"/>
          <w14:textFill>
            <w14:solidFill>
              <w14:schemeClr w14:val="tx1"/>
            </w14:solidFill>
          </w14:textFill>
        </w:rPr>
        <w:t>食品产业</w:t>
      </w:r>
      <w:r>
        <w:rPr>
          <w:rFonts w:ascii="Times New Roman" w:hAnsi="Times New Roman" w:cs="Times New Roman"/>
          <w:color w:val="000000" w:themeColor="text1"/>
          <w14:textFill>
            <w14:solidFill>
              <w14:schemeClr w14:val="tx1"/>
            </w14:solidFill>
          </w14:textFill>
        </w:rPr>
        <w:t>，加工、酿制、冷链等产业链基本形成，南乐县、清丰县荣获“全国食品工业强县”，濮阳县荣获“省级食品工业强县”。</w:t>
      </w:r>
      <w:r>
        <w:rPr>
          <w:rFonts w:ascii="Times New Roman" w:hAnsi="Times New Roman" w:cs="Times New Roman"/>
          <w:b/>
          <w:bCs/>
          <w:color w:val="000000" w:themeColor="text1"/>
          <w14:textFill>
            <w14:solidFill>
              <w14:schemeClr w14:val="tx1"/>
            </w14:solidFill>
          </w14:textFill>
        </w:rPr>
        <w:t>现代家居产业</w:t>
      </w:r>
      <w:r>
        <w:rPr>
          <w:rFonts w:ascii="Times New Roman" w:hAnsi="Times New Roman" w:cs="Times New Roman"/>
          <w:color w:val="000000" w:themeColor="text1"/>
          <w14:textFill>
            <w14:solidFill>
              <w14:schemeClr w14:val="tx1"/>
            </w14:solidFill>
          </w14:textFill>
        </w:rPr>
        <w:t>，形成了板材加工、产品设计、家具制造、智能家居、配套物流全产业链，集聚效应凸显。</w:t>
      </w:r>
      <w:r>
        <w:rPr>
          <w:rFonts w:ascii="Times New Roman" w:hAnsi="Times New Roman" w:cs="Times New Roman"/>
          <w:b/>
          <w:bCs/>
          <w:color w:val="000000" w:themeColor="text1"/>
          <w14:textFill>
            <w14:solidFill>
              <w14:schemeClr w14:val="tx1"/>
            </w14:solidFill>
          </w14:textFill>
        </w:rPr>
        <w:t>羽绒及制品产业</w:t>
      </w:r>
      <w:r>
        <w:rPr>
          <w:rFonts w:ascii="Times New Roman" w:hAnsi="Times New Roman" w:cs="Times New Roman"/>
          <w:color w:val="000000" w:themeColor="text1"/>
          <w14:textFill>
            <w14:solidFill>
              <w14:schemeClr w14:val="tx1"/>
            </w14:solidFill>
          </w14:textFill>
        </w:rPr>
        <w:t>，已形成孵化养殖、水洗分拣和服装寝具、工艺品加工等较为完善的产业链，</w:t>
      </w:r>
      <w:r>
        <w:rPr>
          <w:rFonts w:ascii="Times New Roman" w:hAnsi="Times New Roman" w:cs="Times New Roman"/>
          <w:color w:val="000000" w:themeColor="text1"/>
          <w:kern w:val="0"/>
          <w14:textFill>
            <w14:solidFill>
              <w14:schemeClr w14:val="tx1"/>
            </w14:solidFill>
          </w14:textFill>
        </w:rPr>
        <w:t>创建国家羽绒及羽毛制品技术标准，台前县成为长江以北最大的羽绒羽毛集散地，被命名为“中国羽绒之乡”。</w:t>
      </w:r>
      <w:r>
        <w:rPr>
          <w:rFonts w:ascii="Times New Roman" w:hAnsi="Times New Roman" w:cs="Times New Roman"/>
          <w:b/>
          <w:bCs/>
          <w:color w:val="000000" w:themeColor="text1"/>
          <w14:textFill>
            <w14:solidFill>
              <w14:schemeClr w14:val="tx1"/>
            </w14:solidFill>
          </w14:textFill>
        </w:rPr>
        <w:t>生物</w:t>
      </w:r>
      <w:r>
        <w:rPr>
          <w:rFonts w:hint="eastAsia" w:ascii="Times New Roman" w:hAnsi="Times New Roman" w:cs="Times New Roman"/>
          <w:b/>
          <w:bCs/>
          <w:color w:val="000000" w:themeColor="text1"/>
          <w:lang w:val="en-US" w:eastAsia="zh-CN"/>
          <w14:textFill>
            <w14:solidFill>
              <w14:schemeClr w14:val="tx1"/>
            </w14:solidFill>
          </w14:textFill>
        </w:rPr>
        <w:t>降解</w:t>
      </w:r>
      <w:r>
        <w:rPr>
          <w:rFonts w:ascii="Times New Roman" w:hAnsi="Times New Roman" w:cs="Times New Roman"/>
          <w:b/>
          <w:bCs/>
          <w:color w:val="000000" w:themeColor="text1"/>
          <w14:textFill>
            <w14:solidFill>
              <w14:schemeClr w14:val="tx1"/>
            </w14:solidFill>
          </w14:textFill>
        </w:rPr>
        <w:t>材料产业</w:t>
      </w:r>
      <w:r>
        <w:rPr>
          <w:rFonts w:ascii="Times New Roman" w:hAnsi="Times New Roman" w:cs="Times New Roman"/>
          <w:color w:val="000000" w:themeColor="text1"/>
          <w:kern w:val="0"/>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已形成从玉米秸秆、淀粉为原料，经过液化制糖、发酵、聚合、改性，到生产可降解制品的全产业链，发展潜力巨大。</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转型升级步伐加快。</w:t>
      </w:r>
      <w:r>
        <w:rPr>
          <w:rFonts w:ascii="Times New Roman" w:hAnsi="Times New Roman" w:cs="Times New Roman"/>
          <w:color w:val="000000" w:themeColor="text1"/>
          <w14:textFill>
            <w14:solidFill>
              <w14:schemeClr w14:val="tx1"/>
            </w14:solidFill>
          </w14:textFill>
        </w:rPr>
        <w:t>“十三五”时期，紧紧围绕“稳增长、调结构、促转型”，深入推进节能减排、清洁生产、新一代信息技术和制造业深度融合，以实施“三大改造”和重点项目建设为抓手，厚植发展优势，优化产业结构，转换发展动力。规上单位工业增加值能耗2.25吨标煤/万元，工业固体废物利用率为92.4%，单位工业增加值用水量下降25.6%。</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家企业实施“三大改造”，完成投资</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亿元；21家企业获得两化融合贯标评定；生产换线155条、机器换人367台；创建省级智能工厂9家、省级智能车间26个；国家级绿色工厂4家、省级绿色工厂5家；国家级绿色供应链管理企业1家，绿色产品设计2项；工业企业知识产权运用试点企业8家。集中整治“散乱污”企业，取缔</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家，整改</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家。实施“红黄蓝绿”标识管理企业154家。云计算、大数据、物联网、人工智能、区块链等新技术新业态蓬勃兴起，数字经济发展势头良好，对国民经济增长的贡献率不断提高。</w:t>
      </w:r>
    </w:p>
    <w:p>
      <w:pPr>
        <w:widowControl/>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创新主体实现突破。</w:t>
      </w:r>
      <w:r>
        <w:rPr>
          <w:rFonts w:ascii="Times New Roman" w:hAnsi="Times New Roman" w:cs="Times New Roman"/>
          <w:color w:val="000000" w:themeColor="text1"/>
          <w14:textFill>
            <w14:solidFill>
              <w14:schemeClr w14:val="tx1"/>
            </w14:solidFill>
          </w14:textFill>
        </w:rPr>
        <w:t>“十三五”末，我市省级创新龙头企业总数达到</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家。高新技术企业数量达</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家，较“十二五”末增长148%。新培育省级节能减排科技创新示范企业</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家，总数达到</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家，增长62%，居全省第2位。新培育市级节能减排科技创新示范企业</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家，总数达到</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家，增长96%。国家科技型中小企业总数达到</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家。全市省级工程技术研究中心增长75%，达到</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家；市级重点实验室、工程技术研究中心增长130%，达到</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家；新建国家级、省级科技企业孵化器6家；新建院士工作站4家，增长200%，总数达6家。累计申请专利</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件，授权专利</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件，万人发明专利拥有量达到</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件，分别较“十二五”末增长84.6%、70.6%、96.6%。高新技术产业占工业增加值比重达到46.1%，战略性新兴产业增加值比重达到7.1%，工业企业知识产权运用试点企业8家；省级技术创新示范企业13家。“十三五”期间，濮阳市形成了中原乙烯、中原大化、丰利石化等一批大型化工龙头企业，集聚了濮阳惠成、沃森科技、盛通聚源、迈奇化学等一批中小型高科技企业。</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新型化工基地建设加快。</w:t>
      </w:r>
      <w:r>
        <w:rPr>
          <w:rFonts w:ascii="Times New Roman" w:hAnsi="Times New Roman" w:cs="Times New Roman"/>
          <w:color w:val="000000" w:themeColor="text1"/>
          <w14:textFill>
            <w14:solidFill>
              <w14:schemeClr w14:val="tx1"/>
            </w14:solidFill>
          </w14:textFill>
        </w:rPr>
        <w:t>濮阳新型化工基地获省政府批复，上升为省级战略。成立高规格领导小组，制定《濮阳新型化工基地管理办法》等，体制机制不断健全。编制完成总体发展规划、空间发展规划、集群发展规划等9个规划，规划体系趋于完善。2019年以来，三棵树新型建材等</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个化工项目签约，总投资</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亿元。聚碳酸酯、重蜡加氢等项目已建成投产，丙烷脱氢、展辰新材料等项目正在加快建设，DCC、MMA等项目正在推进，产业规模持续壮大。应急</w:t>
      </w:r>
      <w:r>
        <w:rPr>
          <w:rFonts w:hint="eastAsia" w:ascii="Times New Roman" w:hAnsi="Times New Roman" w:cs="Times New Roman"/>
          <w:color w:val="000000" w:themeColor="text1"/>
          <w:lang w:eastAsia="zh-CN"/>
          <w14:textFill>
            <w14:solidFill>
              <w14:schemeClr w14:val="tx1"/>
            </w14:solidFill>
          </w14:textFill>
        </w:rPr>
        <w:t>救援</w:t>
      </w:r>
      <w:r>
        <w:rPr>
          <w:rFonts w:ascii="Times New Roman" w:hAnsi="Times New Roman" w:cs="Times New Roman"/>
          <w:color w:val="000000" w:themeColor="text1"/>
          <w14:textFill>
            <w14:solidFill>
              <w14:schemeClr w14:val="tx1"/>
            </w14:solidFill>
          </w14:textFill>
        </w:rPr>
        <w:t>基地、豫能供热管线等工程建成投用，危化固废处理项目、专用污水处理厂、危化物流园等工程加快推进，化工基地基础支撑能力逐步增强。</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开放合作更加深入。</w:t>
      </w:r>
      <w:r>
        <w:rPr>
          <w:rFonts w:ascii="Times New Roman" w:hAnsi="Times New Roman" w:cs="Times New Roman"/>
          <w:color w:val="000000" w:themeColor="text1"/>
          <w14:textFill>
            <w14:solidFill>
              <w14:schemeClr w14:val="tx1"/>
            </w14:solidFill>
          </w14:textFill>
        </w:rPr>
        <w:t>濮阳凭借地处京津冀经济区和山东半岛蓝色经济区交汇处、中原经济区的重要出海通道和对外开放前沿城市等便捷的区位优势，区域合作进一步走向深入。“十三五”期间，全市组织参加中国（郑州）产业转移系列对接活动、中国河南国际投资贸易洽谈会、中国国际进口博览会等招商活动30余项，组织举办中原（濮阳）油气技术装备展览会、中国涂料大会等经贸活动20余项，与中石化、中建材等20余家央企开展战略合作，国内外500强企业23家在我市投资建设，行业100强及知名上市企业39家在我市落地生根。美国通用电气、德力西控股集团、北京东方雨虹防水技术股份有限公司等投资项目落户濮阳。</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营商环境持续提升。</w:t>
      </w:r>
      <w:r>
        <w:rPr>
          <w:rFonts w:ascii="Times New Roman" w:hAnsi="Times New Roman" w:cs="Times New Roman"/>
          <w:color w:val="000000" w:themeColor="text1"/>
          <w14:textFill>
            <w14:solidFill>
              <w14:schemeClr w14:val="tx1"/>
            </w14:solidFill>
          </w14:textFill>
        </w:rPr>
        <w:t>“十三五”期间，深入开展“惠企政策进千企”行动，实施“百千万”培训工程，五年来培训企业家300人余次、优秀企业高管4000余人次、专业技术人员3万余人次。在全省率先成立由市委书记任主任的市委营商环境建设委员会，设立濮阳首个“企业家日”，率先推行“三十五证合一”“三十八证联办”等放管服改革。坚持工业经济运行月分析、项目建设月统计、企业服务直通车、“五个一”等制度，建立“政企面对面”沟通机制，开展营商环境优化提升专项行动，解决企业发展堵点痛点难点问题1560个。疫情期间，濮阳在全省率先出台支持中小微企业平稳健康发展20条政策措施，选派企业首席服务员，帮助企业复工复产、纾困解难，2020年在全省营商环境试评价中排名第四，跻身营商环境全省第一方阵</w:t>
      </w:r>
      <w:r>
        <w:rPr>
          <w:rFonts w:hint="eastAsia" w:ascii="Times New Roman" w:hAnsi="Times New Roman" w:cs="Times New Roman"/>
          <w:color w:val="000000" w:themeColor="text1"/>
          <w14:textFill>
            <w14:solidFill>
              <w14:schemeClr w14:val="tx1"/>
            </w14:solidFill>
          </w14:textFill>
        </w:rPr>
        <w:t>。</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“十三五”期间，我市</w:t>
      </w:r>
      <w:r>
        <w:rPr>
          <w:rFonts w:hint="eastAsia" w:ascii="Times New Roman" w:hAnsi="Times New Roman" w:cs="Times New Roman"/>
          <w:color w:val="000000" w:themeColor="text1"/>
          <w:lang w:eastAsia="zh-CN"/>
          <w14:textFill>
            <w14:solidFill>
              <w14:schemeClr w14:val="tx1"/>
            </w14:solidFill>
          </w14:textFill>
        </w:rPr>
        <w:t>工业经济</w:t>
      </w:r>
      <w:r>
        <w:rPr>
          <w:rFonts w:ascii="Times New Roman" w:hAnsi="Times New Roman" w:cs="Times New Roman"/>
          <w:color w:val="000000" w:themeColor="text1"/>
          <w14:textFill>
            <w14:solidFill>
              <w14:schemeClr w14:val="tx1"/>
            </w14:solidFill>
          </w14:textFill>
        </w:rPr>
        <w:t>发展取得了</w:t>
      </w:r>
      <w:r>
        <w:rPr>
          <w:rFonts w:hint="eastAsia" w:ascii="Times New Roman" w:hAnsi="Times New Roman" w:cs="Times New Roman"/>
          <w:color w:val="000000" w:themeColor="text1"/>
          <w14:textFill>
            <w14:solidFill>
              <w14:schemeClr w14:val="tx1"/>
            </w14:solidFill>
          </w14:textFill>
        </w:rPr>
        <w:t>显著</w:t>
      </w:r>
      <w:r>
        <w:rPr>
          <w:rFonts w:ascii="Times New Roman" w:hAnsi="Times New Roman" w:cs="Times New Roman"/>
          <w:color w:val="000000" w:themeColor="text1"/>
          <w14:textFill>
            <w14:solidFill>
              <w14:schemeClr w14:val="tx1"/>
            </w14:solidFill>
          </w14:textFill>
        </w:rPr>
        <w:t>成效</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但面临的困难挑战和短板制约依然</w:t>
      </w:r>
      <w:r>
        <w:rPr>
          <w:rFonts w:hint="eastAsia" w:ascii="Times New Roman" w:hAnsi="Times New Roman" w:cs="Times New Roman"/>
          <w:color w:val="000000" w:themeColor="text1"/>
          <w14:textFill>
            <w14:solidFill>
              <w14:schemeClr w14:val="tx1"/>
            </w14:solidFill>
          </w14:textFill>
        </w:rPr>
        <w:t>突出，</w:t>
      </w:r>
      <w:r>
        <w:rPr>
          <w:rFonts w:ascii="Times New Roman" w:hAnsi="Times New Roman" w:cs="Times New Roman"/>
          <w:color w:val="000000" w:themeColor="text1"/>
          <w14:textFill>
            <w14:solidFill>
              <w14:schemeClr w14:val="tx1"/>
            </w14:solidFill>
          </w14:textFill>
        </w:rPr>
        <w:t>主要表现在：</w:t>
      </w:r>
      <w:r>
        <w:rPr>
          <w:rFonts w:hint="eastAsia" w:ascii="Times New Roman" w:hAnsi="Times New Roman" w:cs="Times New Roman"/>
          <w:color w:val="000000" w:themeColor="text1"/>
          <w14:textFill>
            <w14:solidFill>
              <w14:schemeClr w14:val="tx1"/>
            </w14:solidFill>
          </w14:textFill>
        </w:rPr>
        <w:t>一是</w:t>
      </w:r>
      <w:r>
        <w:rPr>
          <w:rFonts w:ascii="Times New Roman" w:hAnsi="Times New Roman" w:cs="Times New Roman"/>
          <w:color w:val="000000" w:themeColor="text1"/>
          <w14:textFill>
            <w14:solidFill>
              <w14:schemeClr w14:val="tx1"/>
            </w14:solidFill>
          </w14:textFill>
        </w:rPr>
        <w:t>工业经济面临的下行压力仍然较大。受疫情影响，企业效益指标下滑明显，我市规模以上工业企业营业收入及利润增速持续回落。</w:t>
      </w:r>
      <w:r>
        <w:rPr>
          <w:rFonts w:hint="eastAsia" w:ascii="Times New Roman" w:hAnsi="Times New Roman" w:cs="Times New Roman"/>
          <w:color w:val="000000" w:themeColor="text1"/>
          <w14:textFill>
            <w14:solidFill>
              <w14:schemeClr w14:val="tx1"/>
            </w14:solidFill>
          </w14:textFill>
        </w:rPr>
        <w:t>二是</w:t>
      </w:r>
      <w:r>
        <w:rPr>
          <w:rFonts w:ascii="Times New Roman" w:hAnsi="Times New Roman" w:cs="Times New Roman"/>
          <w:color w:val="000000" w:themeColor="text1"/>
          <w14:textFill>
            <w14:solidFill>
              <w14:schemeClr w14:val="tx1"/>
            </w14:solidFill>
          </w14:textFill>
        </w:rPr>
        <w:t>企业总体规模偏小。2020年我市主营业务收入超50亿元的大企业仅有丰利石化、天能集团濮阳公司、中原油田分公司3家，大型企业支撑引领的示范带动作用不强，中小企业普遍存在资本缺乏、资产规模小、持续经营能力弱等问题。</w:t>
      </w:r>
      <w:r>
        <w:rPr>
          <w:rFonts w:hint="eastAsia" w:ascii="Times New Roman" w:hAnsi="Times New Roman" w:cs="Times New Roman"/>
          <w:color w:val="000000" w:themeColor="text1"/>
          <w14:textFill>
            <w14:solidFill>
              <w14:schemeClr w14:val="tx1"/>
            </w14:solidFill>
          </w14:textFill>
        </w:rPr>
        <w:t>三是</w:t>
      </w:r>
      <w:r>
        <w:rPr>
          <w:rFonts w:ascii="Times New Roman" w:hAnsi="Times New Roman" w:cs="Times New Roman"/>
          <w:color w:val="000000" w:themeColor="text1"/>
          <w14:textFill>
            <w14:solidFill>
              <w14:schemeClr w14:val="tx1"/>
            </w14:solidFill>
          </w14:textFill>
        </w:rPr>
        <w:t>传统产业占比较高。</w:t>
      </w:r>
      <w:r>
        <w:rPr>
          <w:rFonts w:hint="eastAsia" w:ascii="Times New Roman" w:hAnsi="Times New Roman" w:cs="Times New Roman"/>
          <w:color w:val="000000" w:themeColor="text1"/>
          <w14:textFill>
            <w14:solidFill>
              <w14:schemeClr w14:val="tx1"/>
            </w14:solidFill>
          </w14:textFill>
        </w:rPr>
        <w:t>截至2020年</w:t>
      </w:r>
      <w:r>
        <w:rPr>
          <w:rFonts w:ascii="Times New Roman" w:hAnsi="Times New Roman" w:cs="Times New Roman"/>
          <w:color w:val="000000" w:themeColor="text1"/>
          <w14:textFill>
            <w14:solidFill>
              <w14:schemeClr w14:val="tx1"/>
            </w14:solidFill>
          </w14:textFill>
        </w:rPr>
        <w:t>，“三大”主导产业增加值占</w:t>
      </w:r>
      <w:r>
        <w:rPr>
          <w:rFonts w:hint="eastAsia" w:ascii="Times New Roman" w:hAnsi="Times New Roman" w:cs="Times New Roman"/>
          <w:color w:val="000000" w:themeColor="text1"/>
          <w14:textFill>
            <w14:solidFill>
              <w14:schemeClr w14:val="tx1"/>
            </w14:solidFill>
          </w14:textFill>
        </w:rPr>
        <w:t>比</w:t>
      </w:r>
      <w:r>
        <w:rPr>
          <w:rFonts w:ascii="Times New Roman" w:hAnsi="Times New Roman" w:cs="Times New Roman"/>
          <w:color w:val="000000" w:themeColor="text1"/>
          <w14:textFill>
            <w14:solidFill>
              <w14:schemeClr w14:val="tx1"/>
            </w14:solidFill>
          </w14:textFill>
        </w:rPr>
        <w:t>69.1%，“三专”特色产业增加值占</w:t>
      </w:r>
      <w:r>
        <w:rPr>
          <w:rFonts w:hint="eastAsia" w:ascii="Times New Roman" w:hAnsi="Times New Roman" w:cs="Times New Roman"/>
          <w:color w:val="000000" w:themeColor="text1"/>
          <w14:textFill>
            <w14:solidFill>
              <w14:schemeClr w14:val="tx1"/>
            </w14:solidFill>
          </w14:textFill>
        </w:rPr>
        <w:t>比</w:t>
      </w:r>
      <w:r>
        <w:rPr>
          <w:rFonts w:ascii="Times New Roman" w:hAnsi="Times New Roman" w:cs="Times New Roman"/>
          <w:color w:val="000000" w:themeColor="text1"/>
          <w14:textFill>
            <w14:solidFill>
              <w14:schemeClr w14:val="tx1"/>
            </w14:solidFill>
          </w14:textFill>
        </w:rPr>
        <w:t>4.3%，战略性新兴产业增加值</w:t>
      </w:r>
      <w:r>
        <w:rPr>
          <w:rFonts w:hint="eastAsia" w:ascii="Times New Roman" w:hAnsi="Times New Roman" w:cs="Times New Roman"/>
          <w:color w:val="000000" w:themeColor="text1"/>
          <w14:textFill>
            <w14:solidFill>
              <w14:schemeClr w14:val="tx1"/>
            </w14:solidFill>
          </w14:textFill>
        </w:rPr>
        <w:t>占比仅为</w:t>
      </w:r>
      <w:r>
        <w:rPr>
          <w:rFonts w:ascii="Times New Roman" w:hAnsi="Times New Roman" w:cs="Times New Roman"/>
          <w:color w:val="000000" w:themeColor="text1"/>
          <w14:textFill>
            <w14:solidFill>
              <w14:schemeClr w14:val="tx1"/>
            </w14:solidFill>
          </w14:textFill>
        </w:rPr>
        <w:t>7.1%，尚未形成有效支撑。我市支柱产业集中在传统领域，且产业层次低，多处于产业链前端和价值链的低端，科技含量高、附加值高的深加工及终端项目少。</w:t>
      </w:r>
    </w:p>
    <w:p>
      <w:pPr>
        <w:pStyle w:val="5"/>
        <w:spacing w:line="240" w:lineRule="auto"/>
        <w:ind w:firstLine="640"/>
        <w:rPr>
          <w:rFonts w:hint="default" w:ascii="Times New Roman" w:hAnsi="Times New Roman" w:eastAsia="黑体" w:cs="Times New Roman"/>
          <w:color w:val="000000" w:themeColor="text1"/>
          <w:lang w:val="en-US" w:eastAsia="zh-CN"/>
          <w14:textFill>
            <w14:solidFill>
              <w14:schemeClr w14:val="tx1"/>
            </w14:solidFill>
          </w14:textFill>
        </w:rPr>
      </w:pPr>
      <w:bookmarkStart w:id="21" w:name="_Toc27712"/>
      <w:bookmarkStart w:id="22" w:name="_Toc62834770"/>
      <w:bookmarkStart w:id="23" w:name="_Toc21"/>
      <w:r>
        <w:rPr>
          <w:rFonts w:ascii="Times New Roman" w:hAnsi="Times New Roman" w:cs="Times New Roman"/>
          <w:color w:val="000000" w:themeColor="text1"/>
          <w14:textFill>
            <w14:solidFill>
              <w14:schemeClr w14:val="tx1"/>
            </w14:solidFill>
          </w14:textFill>
        </w:rPr>
        <w:t>二、</w:t>
      </w:r>
      <w:bookmarkEnd w:id="21"/>
      <w:bookmarkEnd w:id="22"/>
      <w:r>
        <w:rPr>
          <w:rFonts w:hint="eastAsia" w:ascii="Times New Roman" w:hAnsi="Times New Roman" w:cs="Times New Roman"/>
          <w:color w:val="000000" w:themeColor="text1"/>
          <w:lang w:val="en-US" w:eastAsia="zh-CN"/>
          <w14:textFill>
            <w14:solidFill>
              <w14:schemeClr w14:val="tx1"/>
            </w14:solidFill>
          </w14:textFill>
        </w:rPr>
        <w:t>“十四五”发展新形势</w:t>
      </w:r>
      <w:bookmarkEnd w:id="23"/>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“十四五”时期</w:t>
      </w:r>
      <w:r>
        <w:rPr>
          <w:rFonts w:hint="eastAsia" w:ascii="Times New Roman" w:hAnsi="Times New Roman" w:cs="Times New Roman"/>
          <w:color w:val="000000" w:themeColor="text1"/>
          <w:lang w:eastAsia="zh-CN"/>
          <w14:textFill>
            <w14:solidFill>
              <w14:schemeClr w14:val="tx1"/>
            </w14:solidFill>
          </w14:textFill>
        </w:rPr>
        <w:t>是</w:t>
      </w:r>
      <w:r>
        <w:rPr>
          <w:rFonts w:ascii="Times New Roman" w:hAnsi="Times New Roman" w:cs="Times New Roman"/>
          <w:color w:val="000000" w:themeColor="text1"/>
          <w14:textFill>
            <w14:solidFill>
              <w14:schemeClr w14:val="tx1"/>
            </w14:solidFill>
          </w14:textFill>
        </w:rPr>
        <w:t>我国开启全面建设社会主义现代化国家新征程</w:t>
      </w:r>
      <w:r>
        <w:rPr>
          <w:rFonts w:hint="eastAsia" w:ascii="Times New Roman" w:hAnsi="Times New Roman" w:cs="Times New Roman"/>
          <w:color w:val="000000" w:themeColor="text1"/>
          <w:lang w:eastAsia="zh-CN"/>
          <w14:textFill>
            <w14:solidFill>
              <w14:schemeClr w14:val="tx1"/>
            </w14:solidFill>
          </w14:textFill>
        </w:rPr>
        <w:t>的第一个五年，也是制造强国建设的关键五年，面临的外部发展环境将更趋复杂化，</w:t>
      </w:r>
      <w:r>
        <w:rPr>
          <w:rFonts w:hint="eastAsia" w:ascii="Times New Roman" w:hAnsi="Times New Roman" w:eastAsia="仿宋_GB2312" w:cs="Times New Roman"/>
          <w:bCs w:val="0"/>
          <w:color w:val="000000" w:themeColor="text1"/>
          <w:lang w:eastAsia="zh-CN"/>
          <w14:textFill>
            <w14:solidFill>
              <w14:schemeClr w14:val="tx1"/>
            </w14:solidFill>
          </w14:textFill>
        </w:rPr>
        <w:t>“稳工业”压力将持续存在，在“稳”的基础上，将逐渐向“内生增长、创新驱动、智能绿色、协同开放”方向加快升级转变。</w:t>
      </w:r>
      <w:r>
        <w:rPr>
          <w:rFonts w:ascii="Times New Roman" w:hAnsi="Times New Roman" w:cs="Times New Roman"/>
          <w:color w:val="000000" w:themeColor="text1"/>
          <w14:textFill>
            <w14:solidFill>
              <w14:schemeClr w14:val="tx1"/>
            </w14:solidFill>
          </w14:textFill>
        </w:rPr>
        <w:t>面对新的宏观形势和新时期的历史重任，濮阳必须准确把握当前面临的挑战和机遇，在危机中育新机，于变局中开新局。</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（一）“十四五”的形势和机遇</w:t>
      </w:r>
    </w:p>
    <w:p>
      <w:pPr>
        <w:ind w:firstLine="640" w:firstLineChars="200"/>
        <w:rPr>
          <w:rFonts w:ascii="Times New Roman" w:hAnsi="Times New Roman" w:cs="Times New Roman"/>
          <w:b w:val="0"/>
          <w:bCs w:val="0"/>
          <w:color w:val="000000" w:themeColor="text1"/>
          <w14:textFill>
            <w14:solidFill>
              <w14:schemeClr w14:val="tx1"/>
            </w14:solidFill>
          </w14:textFill>
        </w:rPr>
      </w:pPr>
      <w:r>
        <w:rPr>
          <w:rFonts w:ascii="Times New Roman" w:hAnsi="Times New Roman" w:cs="Times New Roman"/>
          <w:b w:val="0"/>
          <w:bCs w:val="0"/>
          <w:color w:val="000000" w:themeColor="text1"/>
          <w14:textFill>
            <w14:solidFill>
              <w14:schemeClr w14:val="tx1"/>
            </w14:solidFill>
          </w14:textFill>
        </w:rPr>
        <w:t>1.总体形势</w:t>
      </w:r>
    </w:p>
    <w:p>
      <w:pPr>
        <w:pStyle w:val="22"/>
        <w:ind w:firstLine="640"/>
        <w:rPr>
          <w:rFonts w:ascii="Times New Roman" w:hAnsi="Times New Roman" w:eastAsia="仿宋_GB2312" w:cs="Times New Roman"/>
          <w:bCs w:val="0"/>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从国际看</w:t>
      </w:r>
      <w:r>
        <w:rPr>
          <w:rFonts w:hint="eastAsia" w:ascii="Times New Roman" w:hAnsi="Times New Roman" w:eastAsia="仿宋_GB2312" w:cs="Times New Roman"/>
          <w:b/>
          <w:color w:val="000000" w:themeColor="text1"/>
          <w14:textFill>
            <w14:solidFill>
              <w14:schemeClr w14:val="tx1"/>
            </w14:solidFill>
          </w14:textFill>
        </w:rPr>
        <w:t>，</w:t>
      </w:r>
      <w:r>
        <w:rPr>
          <w:rFonts w:hint="eastAsia" w:ascii="Times New Roman" w:hAnsi="Times New Roman" w:eastAsia="仿宋_GB2312" w:cs="Times New Roman"/>
          <w:bCs w:val="0"/>
          <w:color w:val="000000" w:themeColor="text1"/>
          <w14:textFill>
            <w14:solidFill>
              <w14:schemeClr w14:val="tx1"/>
            </w14:solidFill>
          </w14:textFill>
        </w:rPr>
        <w:t>世界面临百年未有之大变局，</w:t>
      </w:r>
      <w:r>
        <w:rPr>
          <w:rFonts w:ascii="Times New Roman" w:hAnsi="Times New Roman" w:eastAsia="仿宋_GB2312" w:cs="Times New Roman"/>
          <w:bCs w:val="0"/>
          <w:color w:val="000000" w:themeColor="text1"/>
          <w14:textFill>
            <w14:solidFill>
              <w14:schemeClr w14:val="tx1"/>
            </w14:solidFill>
          </w14:textFill>
        </w:rPr>
        <w:t>国际环境</w:t>
      </w:r>
      <w:r>
        <w:rPr>
          <w:rFonts w:hint="eastAsia" w:ascii="Times New Roman" w:hAnsi="Times New Roman" w:eastAsia="仿宋_GB2312" w:cs="Times New Roman"/>
          <w:bCs w:val="0"/>
          <w:color w:val="000000" w:themeColor="text1"/>
          <w:lang w:eastAsia="zh-CN"/>
          <w14:textFill>
            <w14:solidFill>
              <w14:schemeClr w14:val="tx1"/>
            </w14:solidFill>
          </w14:textFill>
        </w:rPr>
        <w:t>复杂严峻，风险挑战明显增多，</w:t>
      </w:r>
      <w:r>
        <w:rPr>
          <w:rFonts w:ascii="Times New Roman" w:hAnsi="Times New Roman" w:eastAsia="仿宋_GB2312" w:cs="Times New Roman"/>
          <w:bCs w:val="0"/>
          <w:color w:val="000000" w:themeColor="text1"/>
          <w14:textFill>
            <w14:solidFill>
              <w14:schemeClr w14:val="tx1"/>
            </w14:solidFill>
          </w14:textFill>
        </w:rPr>
        <w:t>经济全球化遭遇逆流国际贸易摩擦加剧、逆全球化升温。制造业受发达国家高端挤压和其他国家中低端抢占的态势有增无减，新冠肺炎疫情影响广泛深远，全球产业链供应链区域化、本地化加速调整，产业链、供应链、价值链加速重构，</w:t>
      </w:r>
      <w:r>
        <w:rPr>
          <w:rFonts w:hint="eastAsia" w:ascii="Times New Roman" w:hAnsi="Times New Roman" w:eastAsia="仿宋_GB2312" w:cs="Times New Roman"/>
          <w:bCs w:val="0"/>
          <w:color w:val="000000" w:themeColor="text1"/>
          <w14:textFill>
            <w14:solidFill>
              <w14:schemeClr w14:val="tx1"/>
            </w14:solidFill>
          </w14:textFill>
        </w:rPr>
        <w:t>制造业智能化、融合化、绿色化、定制化发展趋势更加明显，全球制造业竞争空</w:t>
      </w:r>
      <w:r>
        <w:rPr>
          <w:rFonts w:hint="eastAsia" w:ascii="Times New Roman" w:hAnsi="Times New Roman" w:eastAsia="仿宋_GB2312" w:cs="Times New Roman"/>
          <w:bCs w:val="0"/>
          <w:color w:val="000000" w:themeColor="text1"/>
          <w:lang w:eastAsia="zh-CN"/>
          <w14:textFill>
            <w14:solidFill>
              <w14:schemeClr w14:val="tx1"/>
            </w14:solidFill>
          </w14:textFill>
        </w:rPr>
        <w:t>前</w:t>
      </w:r>
      <w:r>
        <w:rPr>
          <w:rFonts w:hint="eastAsia" w:ascii="Times New Roman" w:hAnsi="Times New Roman" w:eastAsia="仿宋_GB2312" w:cs="Times New Roman"/>
          <w:bCs w:val="0"/>
          <w:color w:val="000000" w:themeColor="text1"/>
          <w14:textFill>
            <w14:solidFill>
              <w14:schemeClr w14:val="tx1"/>
            </w14:solidFill>
          </w14:textFill>
        </w:rPr>
        <w:t>激烈</w:t>
      </w:r>
      <w:r>
        <w:rPr>
          <w:rFonts w:ascii="Times New Roman" w:hAnsi="Times New Roman" w:eastAsia="仿宋_GB2312" w:cs="Times New Roman"/>
          <w:bCs w:val="0"/>
          <w:color w:val="000000" w:themeColor="text1"/>
          <w14:textFill>
            <w14:solidFill>
              <w14:schemeClr w14:val="tx1"/>
            </w14:solidFill>
          </w14:textFill>
        </w:rPr>
        <w:t>。</w:t>
      </w:r>
    </w:p>
    <w:p>
      <w:pPr>
        <w:pStyle w:val="22"/>
        <w:ind w:firstLine="640"/>
        <w:rPr>
          <w:rFonts w:hint="eastAsia" w:ascii="Times New Roman" w:hAnsi="Times New Roman" w:eastAsia="仿宋_GB2312" w:cs="Times New Roman"/>
          <w:bCs w:val="0"/>
          <w:color w:val="000000" w:themeColor="text1"/>
          <w:lang w:eastAsia="zh-CN"/>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从国内看</w:t>
      </w:r>
      <w:r>
        <w:rPr>
          <w:rFonts w:hint="eastAsia" w:ascii="Times New Roman" w:hAnsi="Times New Roman" w:eastAsia="仿宋_GB2312" w:cs="Times New Roman"/>
          <w:b/>
          <w:color w:val="000000" w:themeColor="text1"/>
          <w:lang w:val="en-US" w:eastAsia="zh-CN"/>
          <w14:textFill>
            <w14:solidFill>
              <w14:schemeClr w14:val="tx1"/>
            </w14:solidFill>
          </w14:textFill>
        </w:rPr>
        <w:t>，</w:t>
      </w:r>
      <w:r>
        <w:rPr>
          <w:rFonts w:hint="eastAsia" w:ascii="Times New Roman" w:hAnsi="Times New Roman" w:eastAsia="仿宋_GB2312" w:cs="Times New Roman"/>
          <w:bCs w:val="0"/>
          <w:color w:val="000000" w:themeColor="text1"/>
          <w14:textFill>
            <w14:solidFill>
              <w14:schemeClr w14:val="tx1"/>
            </w14:solidFill>
          </w14:textFill>
        </w:rPr>
        <w:t>我国</w:t>
      </w:r>
      <w:r>
        <w:rPr>
          <w:rFonts w:hint="eastAsia" w:ascii="Times New Roman" w:hAnsi="Times New Roman" w:eastAsia="仿宋_GB2312" w:cs="Times New Roman"/>
          <w:bCs w:val="0"/>
          <w:color w:val="000000" w:themeColor="text1"/>
          <w:lang w:eastAsia="zh-CN"/>
          <w14:textFill>
            <w14:solidFill>
              <w14:schemeClr w14:val="tx1"/>
            </w14:solidFill>
          </w14:textFill>
        </w:rPr>
        <w:t>已转向高质量发展阶段，制造业高质量发展面临多方面优势和条件。一是</w:t>
      </w:r>
      <w:r>
        <w:rPr>
          <w:rFonts w:hint="eastAsia" w:ascii="Times New Roman" w:hAnsi="Times New Roman" w:eastAsia="仿宋_GB2312" w:cs="Times New Roman"/>
          <w:bCs w:val="0"/>
          <w:color w:val="000000" w:themeColor="text1"/>
          <w14:textFill>
            <w14:solidFill>
              <w14:schemeClr w14:val="tx1"/>
            </w14:solidFill>
          </w14:textFill>
        </w:rPr>
        <w:t>经济基本面总体稳中向好，发展韧性强劲，长期向好的趋势没有发生根本性改变，支撑制造业高质量发展的基本条件总体稳定。</w:t>
      </w:r>
      <w:r>
        <w:rPr>
          <w:rFonts w:hint="eastAsia" w:ascii="Times New Roman" w:hAnsi="Times New Roman" w:eastAsia="仿宋_GB2312" w:cs="Times New Roman"/>
          <w:bCs w:val="0"/>
          <w:color w:val="000000" w:themeColor="text1"/>
          <w:lang w:eastAsia="zh-CN"/>
          <w14:textFill>
            <w14:solidFill>
              <w14:schemeClr w14:val="tx1"/>
            </w14:solidFill>
          </w14:textFill>
        </w:rPr>
        <w:t>二是</w:t>
      </w:r>
      <w:r>
        <w:rPr>
          <w:rFonts w:hint="eastAsia" w:ascii="Times New Roman" w:hAnsi="Times New Roman" w:eastAsia="仿宋_GB2312" w:cs="Times New Roman"/>
          <w:bCs w:val="0"/>
          <w:color w:val="000000" w:themeColor="text1"/>
          <w14:textFill>
            <w14:solidFill>
              <w14:schemeClr w14:val="tx1"/>
            </w14:solidFill>
          </w14:textFill>
        </w:rPr>
        <w:t>产业升级和消费升级进入快车道，区域协调发展加速推进，制造业发展市场空间广阔。</w:t>
      </w:r>
      <w:r>
        <w:rPr>
          <w:rFonts w:hint="eastAsia" w:ascii="Times New Roman" w:hAnsi="Times New Roman" w:eastAsia="仿宋_GB2312" w:cs="Times New Roman"/>
          <w:bCs w:val="0"/>
          <w:color w:val="000000" w:themeColor="text1"/>
          <w:lang w:eastAsia="zh-CN"/>
          <w14:textFill>
            <w14:solidFill>
              <w14:schemeClr w14:val="tx1"/>
            </w14:solidFill>
          </w14:textFill>
        </w:rPr>
        <w:t>三是改革开放创新都将进入深水期，不断提升的创新、更深层次的改革、更高水平的开放将为制造业高质量发展提供更强动能。四是</w:t>
      </w:r>
      <w:r>
        <w:rPr>
          <w:rFonts w:ascii="Times New Roman" w:hAnsi="Times New Roman" w:eastAsia="仿宋_GB2312" w:cs="Times New Roman"/>
          <w:color w:val="000000" w:themeColor="text1"/>
          <w14:textFill>
            <w14:solidFill>
              <w14:schemeClr w14:val="tx1"/>
            </w14:solidFill>
          </w14:textFill>
        </w:rPr>
        <w:t>供给侧结构性改革深入推进，产业链持续优化完善、供应链持续稳定畅通，超大规模国内市场优势和内需潜力进一步激发。</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2.重大机遇</w:t>
      </w:r>
    </w:p>
    <w:p>
      <w:pPr>
        <w:ind w:firstLine="643" w:firstLineChars="200"/>
        <w:rPr>
          <w:rFonts w:hint="eastAsia"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国家重大战略交汇叠加。</w:t>
      </w:r>
      <w:r>
        <w:rPr>
          <w:rFonts w:hint="eastAsia"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构建新发展格局、黄河流域生态保护和高质量发展、促进中部地区崛起三大国家战略交汇叠加，将带来发展空间结构深刻变化，将加速推动区域发展重新洗牌，为濮阳寻求国家、省在土地、资金、政策等方面的支持，加强生态保护、区域合作、产业转移等方面，塑造高质量发展新优势提供了难得的历史性机遇。</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宏观政策红利加速释放。</w:t>
      </w:r>
      <w:r>
        <w:rPr>
          <w:rFonts w:hint="eastAsia" w:ascii="Times New Roman" w:hAnsi="Times New Roman" w:cs="Times New Roman"/>
          <w:color w:val="000000" w:themeColor="text1"/>
          <w:lang w:eastAsia="zh-CN"/>
          <w14:textFill>
            <w14:solidFill>
              <w14:schemeClr w14:val="tx1"/>
            </w14:solidFill>
          </w14:textFill>
        </w:rPr>
        <w:t>后疫情时代，疫情防控体制机制健全成熟，工业基本面稳定向好，国家</w:t>
      </w:r>
      <w:r>
        <w:rPr>
          <w:rFonts w:ascii="Times New Roman" w:hAnsi="Times New Roman" w:cs="Times New Roman"/>
          <w:color w:val="000000" w:themeColor="text1"/>
          <w14:textFill>
            <w14:solidFill>
              <w14:schemeClr w14:val="tx1"/>
            </w14:solidFill>
          </w14:textFill>
        </w:rPr>
        <w:t>实施更加积极的财政政策和更加灵活适度的货币政策，加大减税降费力度，支持实体经济特别是中小微企业发展，</w:t>
      </w:r>
      <w:r>
        <w:rPr>
          <w:rFonts w:hint="eastAsia" w:ascii="Times New Roman" w:hAnsi="Times New Roman" w:cs="Times New Roman"/>
          <w:color w:val="000000" w:themeColor="text1"/>
          <w:lang w:eastAsia="zh-CN"/>
          <w14:textFill>
            <w14:solidFill>
              <w14:schemeClr w14:val="tx1"/>
            </w14:solidFill>
          </w14:textFill>
        </w:rPr>
        <w:t>规划</w:t>
      </w:r>
      <w:r>
        <w:rPr>
          <w:rFonts w:ascii="Times New Roman" w:hAnsi="Times New Roman" w:cs="Times New Roman"/>
          <w:color w:val="000000" w:themeColor="text1"/>
          <w14:textFill>
            <w14:solidFill>
              <w14:schemeClr w14:val="tx1"/>
            </w14:solidFill>
          </w14:textFill>
        </w:rPr>
        <w:t>“新基建”、“两新一重”战略布局等，进一步加强逆周期调节，</w:t>
      </w:r>
      <w:r>
        <w:rPr>
          <w:rFonts w:hint="eastAsia" w:ascii="Times New Roman" w:hAnsi="Times New Roman" w:cs="Times New Roman"/>
          <w:color w:val="000000" w:themeColor="text1"/>
          <w:lang w:eastAsia="zh-CN"/>
          <w14:textFill>
            <w14:solidFill>
              <w14:schemeClr w14:val="tx1"/>
            </w14:solidFill>
          </w14:textFill>
        </w:rPr>
        <w:t>利好政策密集落地，</w:t>
      </w:r>
      <w:r>
        <w:rPr>
          <w:rFonts w:ascii="Times New Roman" w:hAnsi="Times New Roman" w:cs="Times New Roman"/>
          <w:color w:val="000000" w:themeColor="text1"/>
          <w14:textFill>
            <w14:solidFill>
              <w14:schemeClr w14:val="tx1"/>
            </w14:solidFill>
          </w14:textFill>
        </w:rPr>
        <w:t>为濮阳积极争取享受政策红利、转变发展方式、补短板强弱项提供了政策机遇。</w:t>
      </w:r>
    </w:p>
    <w:p>
      <w:pPr>
        <w:pStyle w:val="22"/>
        <w:rPr>
          <w:rFonts w:hint="eastAsia"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“双循环”促进产业升级。</w:t>
      </w:r>
      <w:r>
        <w:rPr>
          <w:rFonts w:hint="eastAsia"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构建</w:t>
      </w:r>
      <w:r>
        <w:rPr>
          <w:rFonts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以国内大循环为主体、国内国际双循环相互促进的新发展格局</w:t>
      </w:r>
      <w:r>
        <w:rPr>
          <w:rFonts w:hint="eastAsia"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，是“十四五”期间我国的重大战略部署</w:t>
      </w:r>
      <w:r>
        <w:rPr>
          <w:rFonts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依托我国强大的“内循环”优势和国外疫情蔓延提供的短暂“窗口期”，工业将保持稳步回升态势，并呈现出新亮点：创新引领经济稳步增长，数字经济潜力倍速释放，绿色发展走向内生性，区域协同创新加快完善，国内国际“双循环”相互促进。经济发展结构进一步优化，创新引领特征强化，</w:t>
      </w:r>
      <w:r>
        <w:rPr>
          <w:rFonts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为濮阳市化工、食品、现代家居等传统产业转型升级，培育壮大新材料、新能源、节能环保、新一代信息技术等战略性新兴产业</w:t>
      </w:r>
      <w:r>
        <w:rPr>
          <w:rFonts w:hint="eastAsia"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，谋篇布局氢能未来产业，</w:t>
      </w:r>
      <w:r>
        <w:rPr>
          <w:rFonts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发展5G、物联网、区块链等新业态、新模式提供广阔的市场空间。</w:t>
      </w:r>
    </w:p>
    <w:p>
      <w:pPr>
        <w:ind w:firstLine="643" w:firstLineChars="200"/>
        <w:rPr>
          <w:rFonts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高水平开放带来新机遇。</w:t>
      </w:r>
      <w:r>
        <w:rPr>
          <w:rFonts w:ascii="Times New Roman" w:hAnsi="Times New Roman" w:eastAsia="仿宋_GB2312" w:cs="Times New Roman"/>
          <w:bCs w:val="0"/>
          <w:color w:val="000000" w:themeColor="text1"/>
          <w:kern w:val="2"/>
          <w:sz w:val="32"/>
          <w:szCs w:val="32"/>
          <w:lang w:val="en-US" w:eastAsia="zh-CN" w:bidi="ar-SA"/>
          <w14:textFill>
            <w14:solidFill>
              <w14:schemeClr w14:val="tx1"/>
            </w14:solidFill>
          </w14:textFill>
        </w:rPr>
        <w:t>中央“一带一路”建设的全面推进，省委省政府“开放强省”的战略实施，县域治理“三起来”的推进，对构建新的对外开放格局，打造内陆开放高地。促进城乡繁荣、激发内生活力带来新机遇。濮阳必须充分利用豫东北门户的地域优势，变内陆腹地为开放前沿，加快培育新的国内国际竞争核心能力；充分借助国家、省开放通道，加速承接产业转移，联合周边地市打造豫鲁交界区域承接产业转移示范区。</w:t>
      </w:r>
    </w:p>
    <w:p>
      <w:pPr>
        <w:pStyle w:val="2"/>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新一代信息技术带来新改变。</w:t>
      </w:r>
      <w:r>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t>新一轮科技革命和产业变革进入加速突破期，新一代信息技术与实体经济加快融合，数字产业化和产业数字化加速发展，新基建正在成为新兴产业倍增发展、传统产业智能升级的重大支撑，数字赋能、跨界融合不断催生新的增长模式</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t>融合发展成为制造业高质量发展的鲜明特征，信息技术将成为制造业核心生产要求</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t>濮阳市</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要</w:t>
      </w:r>
      <w:r>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t>加快推动新一代信息技术与“三大”、“三专”产业深度融合，利用5G、人工智能、大数据等新技术打造“互联网＋制造业”新模式，补强竞争“短板”，打造经济发展新的增长极。</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（二）“十四五”面临的挑战</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发展任务艰巨繁重。</w:t>
      </w:r>
      <w:r>
        <w:rPr>
          <w:rFonts w:ascii="Times New Roman" w:hAnsi="Times New Roman" w:cs="Times New Roman"/>
          <w:color w:val="000000" w:themeColor="text1"/>
          <w14:textFill>
            <w14:solidFill>
              <w14:schemeClr w14:val="tx1"/>
            </w14:solidFill>
          </w14:textFill>
        </w:rPr>
        <w:t>“十四五”期间，全球经济中低速增长的局面短期难以扭转，国内经济增速放缓、下行压力进一步加大，</w:t>
      </w:r>
      <w:r>
        <w:rPr>
          <w:rFonts w:hint="eastAsia" w:ascii="Times New Roman" w:hAnsi="Times New Roman" w:cs="Times New Roman"/>
          <w:color w:val="000000" w:themeColor="text1"/>
          <w:lang w:eastAsia="zh-CN"/>
          <w14:textFill>
            <w14:solidFill>
              <w14:schemeClr w14:val="tx1"/>
            </w14:solidFill>
          </w14:textFill>
        </w:rPr>
        <w:t>我国发展不平衡不充分问题仍然突出，重点领域关键环节改革任务仍然艰巨，创新能力不适应高质量发展要求，产业链不稳不强不安全的问题凸显，深层次体制改革和结构性矛盾仍较突出。</w:t>
      </w:r>
      <w:r>
        <w:rPr>
          <w:rFonts w:ascii="Times New Roman" w:hAnsi="Times New Roman" w:cs="Times New Roman"/>
          <w:color w:val="000000" w:themeColor="text1"/>
          <w14:textFill>
            <w14:solidFill>
              <w14:schemeClr w14:val="tx1"/>
            </w14:solidFill>
          </w14:textFill>
        </w:rPr>
        <w:t>区域内标兵渐远、追兵渐近，我市面临做大经济总量和提升经济发展质量的双重任务，保持经济稳定健康发展的难度加大；经济高质量发展要求兼顾增长速度与质量效益、统筹生态建设与民生保障，迫切需要我市加快转变经济发展方式，推动资源型城市转型。</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动能转换亟待提速。</w:t>
      </w:r>
      <w:r>
        <w:rPr>
          <w:rFonts w:ascii="Times New Roman" w:hAnsi="Times New Roman" w:cs="Times New Roman"/>
          <w:color w:val="000000" w:themeColor="text1"/>
          <w14:textFill>
            <w14:solidFill>
              <w14:schemeClr w14:val="tx1"/>
            </w14:solidFill>
          </w14:textFill>
        </w:rPr>
        <w:t>我市发展不平衡不充分问题仍比较突出，产业结构不优、基础不牢，创新驱动能力不强，新业态新模式培育不足，创新主体、创新平台、创新人才缺乏，战略性新兴产业规模不大，新旧动能转换任务艰巨；重大项目对高质量发展的支撑不强，谋划储备龙头型、引领型项目不够，招商引资质量效益需要进一步提升；亟需我市把科技创新和体制机制创新更好结合起来，扩资源、拓空间、优环境，激发创新创业创造活力，加快新旧动能转换。</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要素约束倒逼转型。</w:t>
      </w:r>
      <w:r>
        <w:rPr>
          <w:rFonts w:ascii="Times New Roman" w:hAnsi="Times New Roman" w:cs="Times New Roman"/>
          <w:color w:val="000000" w:themeColor="text1"/>
          <w14:textFill>
            <w14:solidFill>
              <w14:schemeClr w14:val="tx1"/>
            </w14:solidFill>
          </w14:textFill>
        </w:rPr>
        <w:t>基础设施欠账较多，发展空间受限，濮阳在三省交界区域发展竞争中面临较大压力，必须抢抓国家“两新一重”</w:t>
      </w:r>
      <w:r>
        <w:rPr>
          <w:rFonts w:hint="eastAsia" w:ascii="Times New Roman" w:hAnsi="Times New Roman" w:cs="Times New Roman"/>
          <w:color w:val="000000" w:themeColor="text1"/>
          <w:lang w:eastAsia="zh-CN"/>
          <w14:textFill>
            <w14:solidFill>
              <w14:schemeClr w14:val="tx1"/>
            </w14:solidFill>
          </w14:textFill>
        </w:rPr>
        <w:t>等</w:t>
      </w:r>
      <w:r>
        <w:rPr>
          <w:rFonts w:ascii="Times New Roman" w:hAnsi="Times New Roman" w:cs="Times New Roman"/>
          <w:color w:val="000000" w:themeColor="text1"/>
          <w14:textFill>
            <w14:solidFill>
              <w14:schemeClr w14:val="tx1"/>
            </w14:solidFill>
          </w14:textFill>
        </w:rPr>
        <w:t>建设机遇，千方百计谋划对接争取项目资金，补齐发展短板；</w:t>
      </w:r>
      <w:r>
        <w:rPr>
          <w:rFonts w:hint="eastAsia" w:ascii="Times New Roman" w:hAnsi="Times New Roman" w:cs="Times New Roman"/>
          <w:color w:val="000000" w:themeColor="text1"/>
          <w:lang w:eastAsia="zh-CN"/>
          <w14:textFill>
            <w14:solidFill>
              <w14:schemeClr w14:val="tx1"/>
            </w14:solidFill>
          </w14:textFill>
        </w:rPr>
        <w:t>工业企业经营困难仍未有效缓解，劳动力成本和融资成本较高，节能环保标准压力持续加大，企业生产和经营成本居高不下，疫情下众多中小微企业直接面临歇业、裁员、破产等状况，市场主体活力有待激发；</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环境、能源要素日益趋紧，“双碳”约束日趋明显，</w:t>
      </w:r>
      <w:r>
        <w:rPr>
          <w:rFonts w:ascii="Times New Roman" w:hAnsi="Times New Roman" w:cs="Times New Roman"/>
          <w:color w:val="000000" w:themeColor="text1"/>
          <w14:textFill>
            <w14:solidFill>
              <w14:schemeClr w14:val="tx1"/>
            </w14:solidFill>
          </w14:textFill>
        </w:rPr>
        <w:t>特别是随着黄河流域生态保护和高质量发展战略的深入实施，对产业招商、落地项目、污染治理、生态保护提出了更高要求，迫切需要我市牢固树立高质量发展的战略思维。</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载体平台有待提升。</w:t>
      </w:r>
      <w:r>
        <w:rPr>
          <w:rFonts w:ascii="Times New Roman" w:hAnsi="Times New Roman" w:cs="Times New Roman"/>
          <w:color w:val="000000" w:themeColor="text1"/>
          <w14:textFill>
            <w14:solidFill>
              <w14:schemeClr w14:val="tx1"/>
            </w14:solidFill>
          </w14:textFill>
        </w:rPr>
        <w:t>产业集聚区“二次创业”和体制机制改革，</w:t>
      </w:r>
      <w:r>
        <w:rPr>
          <w:rFonts w:hint="eastAsia" w:ascii="Times New Roman" w:hAnsi="Times New Roman" w:cs="Times New Roman"/>
          <w:color w:val="000000" w:themeColor="text1"/>
          <w:lang w:eastAsia="zh-CN"/>
          <w14:textFill>
            <w14:solidFill>
              <w14:schemeClr w14:val="tx1"/>
            </w14:solidFill>
          </w14:textFill>
        </w:rPr>
        <w:t>为</w:t>
      </w:r>
      <w:r>
        <w:rPr>
          <w:rFonts w:ascii="Times New Roman" w:hAnsi="Times New Roman" w:cs="Times New Roman"/>
          <w:color w:val="000000" w:themeColor="text1"/>
          <w14:textFill>
            <w14:solidFill>
              <w14:schemeClr w14:val="tx1"/>
            </w14:solidFill>
          </w14:textFill>
        </w:rPr>
        <w:t>提高投入产出强度、理顺管理机制、重新激发产业集聚区动力活力提供了政策机遇；必须抢抓机遇，进一步明确主导产业、优化空间布局、完善基础设施和公共服务设施，提高产业载体的承载能力，促进产城融合发展。</w:t>
      </w:r>
    </w:p>
    <w:p>
      <w:pPr>
        <w:spacing w:line="600" w:lineRule="exact"/>
        <w:ind w:firstLine="64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综合</w:t>
      </w:r>
      <w:r>
        <w:rPr>
          <w:rFonts w:hint="eastAsia" w:ascii="Times New Roman" w:hAnsi="Times New Roman" w:cs="Times New Roman"/>
          <w:color w:val="000000" w:themeColor="text1"/>
          <w14:textFill>
            <w14:solidFill>
              <w14:schemeClr w14:val="tx1"/>
            </w14:solidFill>
          </w14:textFill>
        </w:rPr>
        <w:t>研判</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“十四五”期间</w:t>
      </w:r>
      <w:r>
        <w:rPr>
          <w:rFonts w:ascii="Times New Roman" w:hAnsi="Times New Roman" w:cs="Times New Roman"/>
          <w:color w:val="000000" w:themeColor="text1"/>
          <w14:textFill>
            <w14:solidFill>
              <w14:schemeClr w14:val="tx1"/>
            </w14:solidFill>
          </w14:textFill>
        </w:rPr>
        <w:t>我</w:t>
      </w:r>
      <w:r>
        <w:rPr>
          <w:rFonts w:hint="eastAsia" w:ascii="Times New Roman" w:hAnsi="Times New Roman" w:cs="Times New Roman"/>
          <w:color w:val="000000" w:themeColor="text1"/>
          <w:lang w:val="en-US" w:eastAsia="zh-CN"/>
          <w14:textFill>
            <w14:solidFill>
              <w14:schemeClr w14:val="tx1"/>
            </w14:solidFill>
          </w14:textFill>
        </w:rPr>
        <w:t>市</w:t>
      </w:r>
      <w:r>
        <w:rPr>
          <w:rFonts w:hint="eastAsia" w:ascii="Times New Roman" w:hAnsi="Times New Roman" w:cs="Times New Roman"/>
          <w:color w:val="000000" w:themeColor="text1"/>
          <w14:textFill>
            <w14:solidFill>
              <w14:schemeClr w14:val="tx1"/>
            </w14:solidFill>
          </w14:textFill>
        </w:rPr>
        <w:t>处于</w:t>
      </w:r>
      <w:r>
        <w:rPr>
          <w:rFonts w:hint="eastAsia" w:ascii="Times New Roman" w:hAnsi="Times New Roman" w:cs="Times New Roman"/>
          <w:color w:val="000000" w:themeColor="text1"/>
          <w:lang w:val="en-US" w:eastAsia="zh-CN"/>
          <w14:textFill>
            <w14:solidFill>
              <w14:schemeClr w14:val="tx1"/>
            </w14:solidFill>
          </w14:textFill>
        </w:rPr>
        <w:t>建设富强濮阳、生态濮阳、创新濮阳、幸福濮阳，打造中部地区创新开放高地、豫鲁冀省际区域中心的关键阶段，</w:t>
      </w:r>
      <w:r>
        <w:rPr>
          <w:rFonts w:ascii="Times New Roman" w:hAnsi="Times New Roman" w:cs="Times New Roman"/>
          <w:color w:val="000000" w:themeColor="text1"/>
          <w14:textFill>
            <w14:solidFill>
              <w14:schemeClr w14:val="tx1"/>
            </w14:solidFill>
          </w14:textFill>
        </w:rPr>
        <w:t>制造业处于质量变革、效率变革、动力变革的“关键期”，数字赋能、智能提升、绿色</w:t>
      </w:r>
      <w:r>
        <w:rPr>
          <w:rFonts w:hint="eastAsia" w:ascii="Times New Roman" w:hAnsi="Times New Roman" w:cs="Times New Roman"/>
          <w:color w:val="000000" w:themeColor="text1"/>
          <w14:textFill>
            <w14:solidFill>
              <w14:schemeClr w14:val="tx1"/>
            </w14:solidFill>
          </w14:textFill>
        </w:rPr>
        <w:t>低碳</w:t>
      </w:r>
      <w:r>
        <w:rPr>
          <w:rFonts w:ascii="Times New Roman" w:hAnsi="Times New Roman" w:cs="Times New Roman"/>
          <w:color w:val="000000" w:themeColor="text1"/>
          <w14:textFill>
            <w14:solidFill>
              <w14:schemeClr w14:val="tx1"/>
            </w14:solidFill>
          </w14:textFill>
        </w:rPr>
        <w:t>的“加速期”，提升产业基础高级化、产业链现代化水平的“攻坚期”，加快承接产业转移、主动融入国内国际“双循环”的“黄金机遇期”。</w:t>
      </w:r>
    </w:p>
    <w:p>
      <w:pPr>
        <w:ind w:firstLine="640" w:firstLineChars="200"/>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bookmarkStart w:id="24" w:name="_Toc62834771"/>
      <w:bookmarkStart w:id="25" w:name="_Toc3075"/>
      <w:r>
        <w:rPr>
          <w:rFonts w:ascii="Times New Roman" w:hAnsi="Times New Roman" w:cs="Times New Roman"/>
          <w:color w:val="000000" w:themeColor="text1"/>
          <w14:textFill>
            <w14:solidFill>
              <w14:schemeClr w14:val="tx1"/>
            </w14:solidFill>
          </w14:textFill>
        </w:rPr>
        <w:br w:type="page"/>
      </w:r>
    </w:p>
    <w:p>
      <w:pPr>
        <w:pStyle w:val="4"/>
        <w:spacing w:before="156" w:after="156"/>
        <w:rPr>
          <w:rFonts w:ascii="Times New Roman" w:hAnsi="Times New Roman" w:cs="Times New Roman"/>
          <w:color w:val="000000" w:themeColor="text1"/>
          <w14:textFill>
            <w14:solidFill>
              <w14:schemeClr w14:val="tx1"/>
            </w14:solidFill>
          </w14:textFill>
        </w:rPr>
      </w:pPr>
      <w:bookmarkStart w:id="26" w:name="_Toc24732"/>
      <w:r>
        <w:rPr>
          <w:rFonts w:ascii="Times New Roman" w:hAnsi="Times New Roman" w:cs="Times New Roman"/>
          <w:color w:val="000000" w:themeColor="text1"/>
          <w14:textFill>
            <w14:solidFill>
              <w14:schemeClr w14:val="tx1"/>
            </w14:solidFill>
          </w14:textFill>
        </w:rPr>
        <w:t xml:space="preserve">第二章  </w:t>
      </w:r>
      <w:bookmarkEnd w:id="24"/>
      <w:bookmarkEnd w:id="25"/>
      <w:r>
        <w:rPr>
          <w:rFonts w:ascii="Times New Roman" w:hAnsi="Times New Roman" w:cs="Times New Roman"/>
        </w:rPr>
        <w:t>总体思路和发展目标</w:t>
      </w:r>
      <w:bookmarkEnd w:id="26"/>
    </w:p>
    <w:p>
      <w:pPr>
        <w:rPr>
          <w:rFonts w:ascii="Times New Roman" w:hAnsi="Times New Roman" w:cs="Times New Roman"/>
          <w:color w:val="000000" w:themeColor="text1"/>
          <w14:textFill>
            <w14:solidFill>
              <w14:schemeClr w14:val="tx1"/>
            </w14:solidFill>
          </w14:textFill>
        </w:rPr>
      </w:pP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27" w:name="_Toc62834772"/>
      <w:bookmarkStart w:id="28" w:name="_Toc14915"/>
      <w:bookmarkStart w:id="29" w:name="_Toc27697"/>
      <w:r>
        <w:rPr>
          <w:rFonts w:ascii="Times New Roman" w:hAnsi="Times New Roman" w:cs="Times New Roman"/>
          <w:color w:val="000000" w:themeColor="text1"/>
          <w14:textFill>
            <w14:solidFill>
              <w14:schemeClr w14:val="tx1"/>
            </w14:solidFill>
          </w14:textFill>
        </w:rPr>
        <w:t>一、总体思路</w:t>
      </w:r>
      <w:bookmarkEnd w:id="27"/>
      <w:bookmarkEnd w:id="28"/>
      <w:bookmarkEnd w:id="29"/>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以习近平新时代中国特色社会主义思想为指导</w:t>
      </w:r>
      <w:r>
        <w:rPr>
          <w:rFonts w:hint="eastAsia" w:ascii="Times New Roman" w:hAnsi="Times New Roman" w:eastAsia="仿宋_GB2312" w:cs="Times New Roman"/>
          <w:color w:val="000000" w:themeColor="text1"/>
          <w:lang w:eastAsia="zh-CN"/>
          <w14:textFill>
            <w14:solidFill>
              <w14:schemeClr w14:val="tx1"/>
            </w14:solidFill>
          </w14:textFill>
        </w:rPr>
        <w:t>，</w:t>
      </w:r>
      <w:r>
        <w:rPr>
          <w:rFonts w:hint="eastAsia" w:ascii="仿宋_GB2312" w:hAnsi="Times New Roman" w:cs="Times New Roman"/>
          <w:color w:val="000000" w:themeColor="text1"/>
          <w14:textFill>
            <w14:solidFill>
              <w14:schemeClr w14:val="tx1"/>
            </w14:solidFill>
          </w14:textFill>
        </w:rPr>
        <w:t>深入贯彻习近平总书记视察河南重要讲话重要指示，</w:t>
      </w:r>
      <w:r>
        <w:rPr>
          <w:rFonts w:hint="eastAsia" w:ascii="仿宋_GB2312" w:hAnsi="仿宋" w:cs="仿宋"/>
          <w:color w:val="000000" w:themeColor="text1"/>
          <w:szCs w:val="32"/>
          <w14:textFill>
            <w14:solidFill>
              <w14:schemeClr w14:val="tx1"/>
            </w14:solidFill>
          </w14:textFill>
        </w:rPr>
        <w:t>锚定“两个确保”，</w:t>
      </w:r>
      <w:r>
        <w:rPr>
          <w:rFonts w:hint="eastAsia" w:ascii="仿宋_GB2312" w:hAnsi="Times New Roman" w:cs="Times New Roman"/>
          <w:color w:val="000000" w:themeColor="text1"/>
          <w:szCs w:val="32"/>
          <w14:textFill>
            <w14:solidFill>
              <w14:schemeClr w14:val="tx1"/>
            </w14:solidFill>
          </w14:textFill>
        </w:rPr>
        <w:t>实施“十大战略”，</w:t>
      </w:r>
      <w:r>
        <w:rPr>
          <w:rFonts w:hint="eastAsia" w:ascii="Times New Roman" w:hAnsi="Times New Roman" w:eastAsia="仿宋_GB2312" w:cs="Times New Roman"/>
          <w:color w:val="000000" w:themeColor="text1"/>
          <w14:textFill>
            <w14:solidFill>
              <w14:schemeClr w14:val="tx1"/>
            </w14:solidFill>
          </w14:textFill>
        </w:rPr>
        <w:t>完整、准确、全面贯彻新发展理念，坚决把制造业高质量发展为主攻方向，</w:t>
      </w:r>
      <w:r>
        <w:rPr>
          <w:rFonts w:ascii="Times New Roman" w:hAnsi="Times New Roman" w:eastAsia="仿宋_GB2312" w:cs="Times New Roman"/>
          <w:color w:val="000000" w:themeColor="text1"/>
          <w14:textFill>
            <w14:solidFill>
              <w14:schemeClr w14:val="tx1"/>
            </w14:solidFill>
          </w14:textFill>
        </w:rPr>
        <w:t>抢抓黄河流域生态保护和高质量发展、中部地区崛起、</w:t>
      </w:r>
      <w:r>
        <w:rPr>
          <w:rFonts w:hint="eastAsia" w:ascii="Times New Roman" w:hAnsi="Times New Roman" w:eastAsia="仿宋_GB2312" w:cs="Times New Roman"/>
          <w:color w:val="000000" w:themeColor="text1"/>
          <w14:textFill>
            <w14:solidFill>
              <w14:schemeClr w14:val="tx1"/>
            </w14:solidFill>
          </w14:textFill>
        </w:rPr>
        <w:t>构建新发展格局</w:t>
      </w:r>
      <w:r>
        <w:rPr>
          <w:rFonts w:hint="eastAsia" w:ascii="Times New Roman" w:hAnsi="Times New Roman" w:eastAsia="仿宋_GB2312" w:cs="Times New Roman"/>
          <w:color w:val="000000" w:themeColor="text1"/>
          <w:lang w:val="en-US" w:eastAsia="zh-CN"/>
          <w14:textFill>
            <w14:solidFill>
              <w14:schemeClr w14:val="tx1"/>
            </w14:solidFill>
          </w14:textFill>
        </w:rPr>
        <w:t>战略</w:t>
      </w:r>
      <w:r>
        <w:rPr>
          <w:rFonts w:ascii="Times New Roman" w:hAnsi="Times New Roman" w:eastAsia="仿宋_GB2312" w:cs="Times New Roman"/>
          <w:color w:val="000000" w:themeColor="text1"/>
          <w14:textFill>
            <w14:solidFill>
              <w14:schemeClr w14:val="tx1"/>
            </w14:solidFill>
          </w14:textFill>
        </w:rPr>
        <w:t>机遇，坚持稳中求进总基调，深化供给侧结构性改革，</w:t>
      </w:r>
      <w:r>
        <w:rPr>
          <w:rFonts w:hint="eastAsia" w:ascii="Times New Roman" w:hAnsi="Times New Roman" w:eastAsia="仿宋_GB2312" w:cs="Times New Roman"/>
          <w:color w:val="000000" w:themeColor="text1"/>
          <w14:textFill>
            <w14:solidFill>
              <w14:schemeClr w14:val="tx1"/>
            </w14:solidFill>
          </w14:textFill>
        </w:rPr>
        <w:t>提质发展传统产业、培育壮大新兴产业、前瞻布局未来产业</w:t>
      </w:r>
      <w:r>
        <w:rPr>
          <w:rFonts w:ascii="Times New Roman" w:hAnsi="Times New Roman" w:eastAsia="仿宋_GB2312" w:cs="Times New Roman"/>
          <w:color w:val="000000" w:themeColor="text1"/>
          <w14:textFill>
            <w14:solidFill>
              <w14:schemeClr w14:val="tx1"/>
            </w14:solidFill>
          </w14:textFill>
        </w:rPr>
        <w:t>，持续推动制造业高端化、智能化、绿色化、服务化转型，提高产业基础高级化和产业链现代化水平，营造以化工优势产业为主导、多产业融合发展的“一体多元”产业生态。主动融入国内国际“双循环”，</w:t>
      </w:r>
      <w:r>
        <w:rPr>
          <w:rFonts w:hint="eastAsia" w:ascii="Times New Roman" w:hAnsi="Times New Roman" w:eastAsia="仿宋_GB2312" w:cs="Times New Roman"/>
          <w:color w:val="000000" w:themeColor="text1"/>
          <w:lang w:val="en-US" w:eastAsia="zh-CN"/>
          <w14:textFill>
            <w14:solidFill>
              <w14:schemeClr w14:val="tx1"/>
            </w14:solidFill>
          </w14:textFill>
        </w:rPr>
        <w:t>扎实推进工业绿色低碳发展，</w:t>
      </w:r>
      <w:r>
        <w:rPr>
          <w:rFonts w:ascii="Times New Roman" w:hAnsi="Times New Roman" w:eastAsia="仿宋_GB2312" w:cs="Times New Roman"/>
          <w:color w:val="000000" w:themeColor="text1"/>
          <w14:textFill>
            <w14:solidFill>
              <w14:schemeClr w14:val="tx1"/>
            </w14:solidFill>
          </w14:textFill>
        </w:rPr>
        <w:t>加快制造业质量变革、效率变革、动力变革，推动新型化工基地建设提质，努力构建能级更高、结构更优、创新更强、动能更足、效益更好的</w:t>
      </w:r>
      <w:r>
        <w:rPr>
          <w:rFonts w:hint="eastAsia" w:ascii="Times New Roman" w:hAnsi="Times New Roman" w:eastAsia="仿宋_GB2312" w:cs="Times New Roman"/>
          <w:color w:val="000000" w:themeColor="text1"/>
          <w:lang w:val="en-US" w:eastAsia="zh-CN"/>
          <w14:textFill>
            <w14:solidFill>
              <w14:schemeClr w14:val="tx1"/>
            </w14:solidFill>
          </w14:textFill>
        </w:rPr>
        <w:t>现代</w:t>
      </w:r>
      <w:r>
        <w:rPr>
          <w:rFonts w:ascii="Times New Roman" w:hAnsi="Times New Roman" w:eastAsia="仿宋_GB2312" w:cs="Times New Roman"/>
          <w:color w:val="000000" w:themeColor="text1"/>
          <w14:textFill>
            <w14:solidFill>
              <w14:schemeClr w14:val="tx1"/>
            </w14:solidFill>
          </w14:textFill>
        </w:rPr>
        <w:t>产业体系和新发展格局，</w:t>
      </w:r>
      <w:r>
        <w:rPr>
          <w:rFonts w:hint="eastAsia" w:ascii="Times New Roman" w:hAnsi="Times New Roman" w:eastAsia="仿宋_GB2312" w:cs="Times New Roman"/>
          <w:color w:val="000000" w:themeColor="text1"/>
          <w14:textFill>
            <w14:solidFill>
              <w14:schemeClr w14:val="tx1"/>
            </w14:solidFill>
          </w14:textFill>
        </w:rPr>
        <w:t>推动全</w:t>
      </w:r>
      <w:r>
        <w:rPr>
          <w:rFonts w:hint="eastAsia" w:ascii="Times New Roman" w:hAnsi="Times New Roman" w:eastAsia="仿宋_GB2312" w:cs="Times New Roman"/>
          <w:color w:val="000000" w:themeColor="text1"/>
          <w:lang w:val="en-US" w:eastAsia="zh-CN"/>
          <w14:textFill>
            <w14:solidFill>
              <w14:schemeClr w14:val="tx1"/>
            </w14:solidFill>
          </w14:textFill>
        </w:rPr>
        <w:t>市</w:t>
      </w:r>
      <w:r>
        <w:rPr>
          <w:rFonts w:hint="eastAsia" w:ascii="Times New Roman" w:hAnsi="Times New Roman" w:eastAsia="仿宋_GB2312" w:cs="Times New Roman"/>
          <w:color w:val="000000" w:themeColor="text1"/>
          <w14:textFill>
            <w14:solidFill>
              <w14:schemeClr w14:val="tx1"/>
            </w14:solidFill>
          </w14:textFill>
        </w:rPr>
        <w:t>制造业向着“大而优、大而新、大而强”和“高又快、上台阶”迈进</w:t>
      </w:r>
      <w:r>
        <w:rPr>
          <w:rFonts w:hint="eastAsia" w:ascii="Times New Roman" w:hAnsi="Times New Roman" w:eastAsia="仿宋_GB2312" w:cs="Times New Roman"/>
          <w:color w:val="000000" w:themeColor="text1"/>
          <w:lang w:eastAsia="zh-CN"/>
          <w14:textFill>
            <w14:solidFill>
              <w14:schemeClr w14:val="tx1"/>
            </w14:solidFill>
          </w14:textFill>
        </w:rPr>
        <w:t>，</w:t>
      </w:r>
      <w:r>
        <w:rPr>
          <w:rFonts w:ascii="Times New Roman" w:hAnsi="Times New Roman" w:eastAsia="仿宋_GB2312" w:cs="Times New Roman"/>
          <w:color w:val="FF0000"/>
        </w:rPr>
        <w:t>打造资源型城市转型升级创新</w:t>
      </w:r>
      <w:r>
        <w:rPr>
          <w:rFonts w:hint="eastAsia" w:ascii="Times New Roman" w:hAnsi="Times New Roman" w:eastAsia="仿宋_GB2312" w:cs="Times New Roman"/>
          <w:color w:val="FF0000"/>
          <w:lang w:eastAsia="zh-CN"/>
        </w:rPr>
        <w:t>示范</w:t>
      </w:r>
      <w:r>
        <w:rPr>
          <w:rFonts w:ascii="Times New Roman" w:hAnsi="Times New Roman" w:eastAsia="仿宋_GB2312" w:cs="Times New Roman"/>
          <w:color w:val="FF0000"/>
        </w:rPr>
        <w:t>区，</w:t>
      </w:r>
      <w:r>
        <w:rPr>
          <w:rFonts w:ascii="Times New Roman" w:hAnsi="Times New Roman" w:eastAsia="仿宋_GB2312" w:cs="Times New Roman"/>
          <w:color w:val="000000" w:themeColor="text1"/>
          <w14:textFill>
            <w14:solidFill>
              <w14:schemeClr w14:val="tx1"/>
            </w14:solidFill>
          </w14:textFill>
        </w:rPr>
        <w:t>为全市经济社会发展提供重要支撑。</w:t>
      </w: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30" w:name="_Toc9705"/>
      <w:bookmarkStart w:id="31" w:name="_Toc62834773"/>
      <w:bookmarkStart w:id="32" w:name="_Toc27356"/>
      <w:r>
        <w:rPr>
          <w:rFonts w:ascii="Times New Roman" w:hAnsi="Times New Roman" w:cs="Times New Roman"/>
          <w:color w:val="000000" w:themeColor="text1"/>
          <w14:textFill>
            <w14:solidFill>
              <w14:schemeClr w14:val="tx1"/>
            </w14:solidFill>
          </w14:textFill>
        </w:rPr>
        <w:t>二、基本原则</w:t>
      </w:r>
      <w:bookmarkEnd w:id="30"/>
      <w:bookmarkEnd w:id="31"/>
      <w:bookmarkEnd w:id="32"/>
    </w:p>
    <w:p>
      <w:pPr>
        <w:ind w:firstLine="643" w:firstLineChars="20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坚持把加强自主创新和技术进步作为制造业高质量发展的</w:t>
      </w:r>
      <w:r>
        <w:rPr>
          <w:rFonts w:hint="eastAsia" w:ascii="Times New Roman" w:hAnsi="Times New Roman" w:cs="Times New Roman"/>
          <w:b/>
          <w:bCs/>
          <w:color w:val="000000" w:themeColor="text1"/>
          <w14:textFill>
            <w14:solidFill>
              <w14:schemeClr w14:val="tx1"/>
            </w14:solidFill>
          </w14:textFill>
        </w:rPr>
        <w:t>第一动力</w:t>
      </w:r>
      <w:r>
        <w:rPr>
          <w:rFonts w:ascii="Times New Roman" w:hAnsi="Times New Roman" w:cs="Times New Roman"/>
          <w:b/>
          <w:bCs/>
          <w:color w:val="000000" w:themeColor="text1"/>
          <w14:textFill>
            <w14:solidFill>
              <w14:schemeClr w14:val="tx1"/>
            </w14:solidFill>
          </w14:textFill>
        </w:rPr>
        <w:t>。</w:t>
      </w:r>
      <w:r>
        <w:rPr>
          <w:rFonts w:hint="eastAsia" w:ascii="仿宋_GB2312" w:hAnsi="仿宋" w:cs="仿宋"/>
          <w:color w:val="000000" w:themeColor="text1"/>
          <w14:textFill>
            <w14:solidFill>
              <w14:schemeClr w14:val="tx1"/>
            </w14:solidFill>
          </w14:textFill>
        </w:rPr>
        <w:t>把创新摆在发展的逻辑起点、现代化建设的核心，</w:t>
      </w:r>
      <w:r>
        <w:rPr>
          <w:rFonts w:ascii="Times New Roman" w:hAnsi="Times New Roman" w:cs="Times New Roman"/>
          <w:color w:val="000000" w:themeColor="text1"/>
          <w14:textFill>
            <w14:solidFill>
              <w14:schemeClr w14:val="tx1"/>
            </w14:solidFill>
          </w14:textFill>
        </w:rPr>
        <w:t>集中力量在新材料、新能源等重点领域加强关键核心技术攻关，提高产业核心竞争力。发挥行业骨干企业的主导作用和高等院校、科研院所的基础作用，组建产业创新联盟、产业研究院，打通“政产学研金服用”通道，带动产业强链、补链、延链，构建产业链坚固、供应链稳定、创新链引领、价值链跃升的产业生态体系。增强新产品开发能力和品牌创建能力，培育高新技术特色产业基地，壮大战略性新兴产业，推动创新成为产业发展的主要驱动力。</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坚持</w:t>
      </w:r>
      <w:r>
        <w:rPr>
          <w:rFonts w:hint="eastAsia" w:ascii="Times New Roman" w:hAnsi="Times New Roman" w:cs="Times New Roman"/>
          <w:b/>
          <w:bCs/>
          <w:color w:val="000000" w:themeColor="text1"/>
          <w14:textFill>
            <w14:solidFill>
              <w14:schemeClr w14:val="tx1"/>
            </w14:solidFill>
          </w14:textFill>
        </w:rPr>
        <w:t>把</w:t>
      </w:r>
      <w:r>
        <w:rPr>
          <w:rFonts w:ascii="Times New Roman" w:hAnsi="Times New Roman" w:cs="Times New Roman"/>
          <w:b/>
          <w:bCs/>
          <w:color w:val="000000" w:themeColor="text1"/>
          <w14:textFill>
            <w14:solidFill>
              <w14:schemeClr w14:val="tx1"/>
            </w14:solidFill>
          </w14:textFill>
        </w:rPr>
        <w:t>黄河流域生态保护和高质量发展国家战略为重要着力点。</w:t>
      </w:r>
      <w:r>
        <w:rPr>
          <w:rFonts w:ascii="Times New Roman" w:hAnsi="Times New Roman" w:cs="Times New Roman"/>
          <w:color w:val="000000" w:themeColor="text1"/>
          <w14:textFill>
            <w14:solidFill>
              <w14:schemeClr w14:val="tx1"/>
            </w14:solidFill>
          </w14:textFill>
        </w:rPr>
        <w:t>以创建可持续发展实验区为契机，健全激励与约束机制，加强科技创新，加快培育发展新动能，打造产业新引擎，推广应用绿色化发展技术，推进企业清洁生产。大力发展循环经济，加强资源节约和综合利用，强化安全生产保障能力建设，加快推动濮阳市资源利用方式向绿色低碳、清洁安全转变，努力构建具有濮阳特色的高质量发展新路子，打造黄河流域高质量发展的新高地。</w:t>
      </w:r>
    </w:p>
    <w:p>
      <w:pPr>
        <w:spacing w:line="600" w:lineRule="exact"/>
        <w:ind w:firstLine="646"/>
        <w:rPr>
          <w:rFonts w:hint="eastAsia" w:ascii="Times New Roman" w:hAnsi="Times New Roman" w:eastAsia="仿宋_GB2312" w:cs="Times New Roman"/>
          <w:color w:val="000000" w:themeColor="text1"/>
          <w:lang w:val="en-US" w:eastAsia="zh-CN"/>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坚持把</w:t>
      </w:r>
      <w:r>
        <w:rPr>
          <w:rFonts w:hint="eastAsia" w:ascii="Times New Roman" w:hAnsi="Times New Roman" w:cs="Times New Roman"/>
          <w:b/>
          <w:bCs/>
          <w:color w:val="000000" w:themeColor="text1"/>
          <w:lang w:val="en-US" w:eastAsia="zh-CN"/>
          <w14:textFill>
            <w14:solidFill>
              <w14:schemeClr w14:val="tx1"/>
            </w14:solidFill>
          </w14:textFill>
        </w:rPr>
        <w:t>项目建设作为构建现代产业体系</w:t>
      </w:r>
      <w:r>
        <w:rPr>
          <w:rFonts w:ascii="Times New Roman" w:hAnsi="Times New Roman" w:cs="Times New Roman"/>
          <w:b/>
          <w:bCs/>
          <w:color w:val="000000" w:themeColor="text1"/>
          <w14:textFill>
            <w14:solidFill>
              <w14:schemeClr w14:val="tx1"/>
            </w14:solidFill>
          </w14:textFill>
        </w:rPr>
        <w:t>的中心任务。</w:t>
      </w:r>
      <w:r>
        <w:rPr>
          <w:rFonts w:hint="eastAsia" w:ascii="仿宋_GB2312" w:hAnsi="仿宋" w:cs="仿宋"/>
          <w:color w:val="000000" w:themeColor="text1"/>
          <w14:textFill>
            <w14:solidFill>
              <w14:schemeClr w14:val="tx1"/>
            </w14:solidFill>
          </w14:textFill>
        </w:rPr>
        <w:t>牢固树立“项目为王”的鲜明导向，把项目建设作为</w:t>
      </w:r>
      <w:r>
        <w:rPr>
          <w:rFonts w:hint="eastAsia" w:ascii="仿宋_GB2312" w:hAnsi="仿宋" w:cs="仿宋"/>
          <w:color w:val="000000" w:themeColor="text1"/>
          <w:lang w:val="en-US" w:eastAsia="zh-CN"/>
          <w14:textFill>
            <w14:solidFill>
              <w14:schemeClr w14:val="tx1"/>
            </w14:solidFill>
          </w14:textFill>
        </w:rPr>
        <w:t>构建现代产业体系的</w:t>
      </w:r>
      <w:r>
        <w:rPr>
          <w:rFonts w:hint="eastAsia" w:ascii="仿宋_GB2312" w:hAnsi="仿宋" w:cs="仿宋"/>
          <w:color w:val="000000" w:themeColor="text1"/>
          <w14:textFill>
            <w14:solidFill>
              <w14:schemeClr w14:val="tx1"/>
            </w14:solidFill>
          </w14:textFill>
        </w:rPr>
        <w:t>主抓手，</w:t>
      </w:r>
      <w:r>
        <w:rPr>
          <w:rFonts w:hint="eastAsia" w:ascii="仿宋_GB2312" w:hAnsi="仿宋" w:cs="仿宋"/>
          <w:color w:val="000000" w:themeColor="text1"/>
          <w:lang w:val="en-US" w:eastAsia="zh-CN"/>
          <w14:textFill>
            <w14:solidFill>
              <w14:schemeClr w14:val="tx1"/>
            </w14:solidFill>
          </w14:textFill>
        </w:rPr>
        <w:t>紧紧</w:t>
      </w:r>
      <w:r>
        <w:rPr>
          <w:rFonts w:hint="eastAsia" w:ascii="仿宋_GB2312" w:hAnsi="仿宋" w:cs="仿宋"/>
          <w:color w:val="000000" w:themeColor="text1"/>
          <w14:textFill>
            <w14:solidFill>
              <w14:schemeClr w14:val="tx1"/>
            </w14:solidFill>
          </w14:textFill>
        </w:rPr>
        <w:t>围绕“三个一批”，从项目切入、以项目推动、用项目支撑，</w:t>
      </w:r>
      <w:r>
        <w:rPr>
          <w:rFonts w:hint="eastAsia" w:ascii="仿宋_GB2312" w:hAnsi="仿宋" w:cs="仿宋"/>
          <w:color w:val="000000" w:themeColor="text1"/>
          <w:lang w:val="en-US" w:eastAsia="zh-CN"/>
          <w14:textFill>
            <w14:solidFill>
              <w14:schemeClr w14:val="tx1"/>
            </w14:solidFill>
          </w14:textFill>
        </w:rPr>
        <w:t>全面加快</w:t>
      </w:r>
      <w:r>
        <w:rPr>
          <w:rFonts w:ascii="Times New Roman" w:hAnsi="Times New Roman" w:cs="Times New Roman"/>
          <w:color w:val="000000" w:themeColor="text1"/>
          <w14:textFill>
            <w14:solidFill>
              <w14:schemeClr w14:val="tx1"/>
            </w14:solidFill>
          </w14:textFill>
        </w:rPr>
        <w:t>“三大改造”，</w:t>
      </w:r>
      <w:r>
        <w:rPr>
          <w:rFonts w:hint="eastAsia" w:ascii="Times New Roman" w:hAnsi="Times New Roman" w:cs="Times New Roman"/>
          <w:color w:val="000000" w:themeColor="text1"/>
          <w:lang w:val="en-US" w:eastAsia="zh-CN"/>
          <w14:textFill>
            <w14:solidFill>
              <w14:schemeClr w14:val="tx1"/>
            </w14:solidFill>
          </w14:textFill>
        </w:rPr>
        <w:t>助推化工、羽绒制品等传统产业蝶变升级</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以智能制造、绿色制造、服务型制造为主攻方向，紧抓新一轮科技革命和产业变革机遇，</w:t>
      </w:r>
      <w:r>
        <w:rPr>
          <w:rFonts w:hint="eastAsia" w:ascii="Times New Roman" w:hAnsi="Times New Roman" w:cs="Times New Roman"/>
          <w:color w:val="000000" w:themeColor="text1"/>
          <w:lang w:val="en-US" w:eastAsia="zh-CN"/>
          <w14:textFill>
            <w14:solidFill>
              <w14:schemeClr w14:val="tx1"/>
            </w14:solidFill>
          </w14:textFill>
        </w:rPr>
        <w:t>围绕</w:t>
      </w:r>
      <w:r>
        <w:rPr>
          <w:rFonts w:ascii="Times New Roman" w:hAnsi="Times New Roman" w:cs="Times New Roman"/>
          <w:color w:val="000000" w:themeColor="text1"/>
          <w14:textFill>
            <w14:solidFill>
              <w14:schemeClr w14:val="tx1"/>
            </w14:solidFill>
          </w14:textFill>
        </w:rPr>
        <w:t>新材料、新能源、节能环保、新一代信息技术四个新兴产业，实施新兴产业规模倍增计划，培育一批先导性、支柱性的示范引领企业，</w:t>
      </w:r>
      <w:r>
        <w:rPr>
          <w:rFonts w:hint="eastAsia" w:ascii="Times New Roman" w:hAnsi="Times New Roman" w:cs="Times New Roman"/>
          <w:color w:val="000000" w:themeColor="text1"/>
          <w:lang w:val="en-US" w:eastAsia="zh-CN"/>
          <w14:textFill>
            <w14:solidFill>
              <w14:schemeClr w14:val="tx1"/>
            </w14:solidFill>
          </w14:textFill>
        </w:rPr>
        <w:t>打造</w:t>
      </w:r>
      <w:r>
        <w:rPr>
          <w:rFonts w:ascii="Times New Roman" w:hAnsi="Times New Roman" w:cs="Times New Roman"/>
          <w:color w:val="000000" w:themeColor="text1"/>
          <w14:textFill>
            <w14:solidFill>
              <w14:schemeClr w14:val="tx1"/>
            </w14:solidFill>
          </w14:textFill>
        </w:rPr>
        <w:t>战略性新兴产业增长引擎</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以氢能利用为突破，</w:t>
      </w:r>
      <w:r>
        <w:rPr>
          <w:rFonts w:hint="eastAsia"/>
          <w:color w:val="000000" w:themeColor="text1"/>
          <w14:textFill>
            <w14:solidFill>
              <w14:schemeClr w14:val="tx1"/>
            </w14:solidFill>
          </w14:textFill>
        </w:rPr>
        <w:t>前瞻布局氢能</w:t>
      </w:r>
      <w:r>
        <w:rPr>
          <w:rFonts w:hint="eastAsia"/>
          <w:color w:val="000000" w:themeColor="text1"/>
          <w:lang w:val="en-US" w:eastAsia="zh-CN"/>
          <w14:textFill>
            <w14:solidFill>
              <w14:schemeClr w14:val="tx1"/>
            </w14:solidFill>
          </w14:textFill>
        </w:rPr>
        <w:t>未来产业，</w:t>
      </w:r>
      <w:r>
        <w:rPr>
          <w:rFonts w:hint="eastAsia"/>
          <w:color w:val="000000" w:themeColor="text1"/>
          <w14:textFill>
            <w14:solidFill>
              <w14:schemeClr w14:val="tx1"/>
            </w14:solidFill>
          </w14:textFill>
        </w:rPr>
        <w:t>构</w:t>
      </w:r>
      <w:r>
        <w:rPr>
          <w:rFonts w:hint="eastAsia"/>
          <w:color w:val="000000" w:themeColor="text1"/>
          <w:lang w:val="en-US" w:eastAsia="zh-CN"/>
          <w14:textFill>
            <w14:solidFill>
              <w14:schemeClr w14:val="tx1"/>
            </w14:solidFill>
          </w14:textFill>
        </w:rPr>
        <w:t>建</w:t>
      </w:r>
      <w:r>
        <w:rPr>
          <w:rFonts w:hint="eastAsia"/>
          <w:color w:val="000000" w:themeColor="text1"/>
          <w14:textFill>
            <w14:solidFill>
              <w14:schemeClr w14:val="tx1"/>
            </w14:solidFill>
          </w14:textFill>
        </w:rPr>
        <w:t>“以传统产业为基础、新兴产业为支柱、未来产业为先导”的</w:t>
      </w:r>
      <w:r>
        <w:rPr>
          <w:rFonts w:hint="eastAsia"/>
          <w:color w:val="000000" w:themeColor="text1"/>
          <w:lang w:val="en-US" w:eastAsia="zh-CN"/>
          <w14:textFill>
            <w14:solidFill>
              <w14:schemeClr w14:val="tx1"/>
            </w14:solidFill>
          </w14:textFill>
        </w:rPr>
        <w:t>现代产业</w:t>
      </w:r>
      <w:r>
        <w:rPr>
          <w:rFonts w:hint="eastAsia"/>
          <w:color w:val="000000" w:themeColor="text1"/>
          <w14:textFill>
            <w14:solidFill>
              <w14:schemeClr w14:val="tx1"/>
            </w14:solidFill>
          </w14:textFill>
        </w:rPr>
        <w:t>体系</w:t>
      </w:r>
      <w:r>
        <w:rPr>
          <w:rFonts w:hint="eastAsia"/>
          <w:color w:val="000000" w:themeColor="text1"/>
          <w:lang w:eastAsia="zh-CN"/>
          <w14:textFill>
            <w14:solidFill>
              <w14:schemeClr w14:val="tx1"/>
            </w14:solidFill>
          </w14:textFill>
        </w:rPr>
        <w:t>。</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坚持把推进两化深度融合作为制造业高质量发展的重要支撑。</w:t>
      </w:r>
      <w:r>
        <w:rPr>
          <w:rFonts w:hint="eastAsia" w:ascii="仿宋_GB2312" w:hAnsi="仿宋" w:cs="仿宋"/>
          <w:color w:val="000000" w:themeColor="text1"/>
          <w14:textFill>
            <w14:solidFill>
              <w14:schemeClr w14:val="tx1"/>
            </w14:solidFill>
          </w14:textFill>
        </w:rPr>
        <w:t>发挥数字经济引领作用，聚焦新型基础设施建设，发展数字核心产业，全面提升数智赋能，促进信息化与工业化、制造业与服务业深度融合。</w:t>
      </w:r>
      <w:r>
        <w:rPr>
          <w:rFonts w:ascii="Times New Roman" w:hAnsi="Times New Roman" w:cs="Times New Roman"/>
          <w:color w:val="000000" w:themeColor="text1"/>
          <w14:textFill>
            <w14:solidFill>
              <w14:schemeClr w14:val="tx1"/>
            </w14:solidFill>
          </w14:textFill>
        </w:rPr>
        <w:t>深入落实“中国制造2025”和“互联网+”行动计划，推动互联网、云计算、物联网等与制造业相结合，把智能制造作为两化深度融合的主攻方向，深化信息技术集成应用，着力发展智能装备和智能产品，加快推动制造业向数字化、网络化、智能化、服务化转变，培育新型生产方式，全面提升企业研发、生产、管理和服务的智能化水平。</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坚持把扩大开放、深化改革作为制造业高质量发展的强大动力。</w:t>
      </w:r>
      <w:r>
        <w:rPr>
          <w:rFonts w:ascii="Times New Roman" w:hAnsi="Times New Roman" w:cs="Times New Roman"/>
          <w:color w:val="000000" w:themeColor="text1"/>
          <w14:textFill>
            <w14:solidFill>
              <w14:schemeClr w14:val="tx1"/>
            </w14:solidFill>
          </w14:textFill>
        </w:rPr>
        <w:t>加快开放步伐，充分利用“两种资源、两个市场”，稳定外需、扩大内需，实现内需外需均衡发展，加快融入以国内循环为主体，国内国际双循环相互促进的新发展格局。以深化结构性改革为抓手，加大简政放权的力度，充分发挥市场在资源配置中的决定性作用，激发市场主体活力。营造良好的营商环境，激活社会资本，拓展融资渠道，降低创业准入门槛，打造创业载体平台，健全创业服务体系，充分发挥政府的引导作用。</w:t>
      </w:r>
      <w:bookmarkStart w:id="33" w:name="_Toc62834774"/>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34" w:name="_Toc30604"/>
      <w:bookmarkStart w:id="35" w:name="_Toc15163"/>
      <w:r>
        <w:rPr>
          <w:rFonts w:ascii="Times New Roman" w:hAnsi="Times New Roman" w:cs="Times New Roman"/>
          <w:color w:val="000000" w:themeColor="text1"/>
          <w14:textFill>
            <w14:solidFill>
              <w14:schemeClr w14:val="tx1"/>
            </w14:solidFill>
          </w14:textFill>
        </w:rPr>
        <w:t>三、主要目标</w:t>
      </w:r>
      <w:bookmarkEnd w:id="33"/>
      <w:bookmarkEnd w:id="34"/>
      <w:bookmarkEnd w:id="35"/>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全市工业经济各项指标稳定在中高速增长，发展方式转向质量效率型，经济结构调整转向做强存量、做优增量并举，发展动力转向创新驱动，智能制造、绿色发展达到新水平，质量品牌迈上新台阶，战略性新兴产业形成新支撑，新经济新业态开创新局面，产业发展呈现多元化、经济发展出现新的增长极。</w:t>
      </w:r>
    </w:p>
    <w:p>
      <w:pPr>
        <w:ind w:firstLine="643" w:firstLineChars="200"/>
        <w:rPr>
          <w:rFonts w:hint="eastAsia"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综合实力取得新提升。</w:t>
      </w:r>
      <w:r>
        <w:rPr>
          <w:rFonts w:ascii="Times New Roman" w:hAnsi="Times New Roman" w:cs="Times New Roman"/>
          <w:color w:val="000000" w:themeColor="text1"/>
          <w14:textFill>
            <w14:solidFill>
              <w14:schemeClr w14:val="tx1"/>
            </w14:solidFill>
          </w14:textFill>
        </w:rPr>
        <w:t>规模工业增加值年均增长7%左右，制造业占全市生产总值的比重达到</w:t>
      </w:r>
      <w:r>
        <w:rPr>
          <w:rFonts w:hint="eastAsia" w:ascii="Times New Roman" w:hAnsi="Times New Roman" w:cs="Times New Roman"/>
          <w:color w:val="FF0000"/>
          <w:lang w:val="en-US" w:eastAsia="zh-CN"/>
        </w:rPr>
        <w:t>3</w:t>
      </w:r>
      <w:r>
        <w:rPr>
          <w:rFonts w:ascii="Times New Roman" w:hAnsi="Times New Roman" w:cs="Times New Roman"/>
          <w:color w:val="FF0000"/>
        </w:rPr>
        <w:t>0%</w:t>
      </w:r>
      <w:r>
        <w:rPr>
          <w:rFonts w:ascii="Times New Roman" w:hAnsi="Times New Roman" w:cs="Times New Roman"/>
          <w:color w:val="000000" w:themeColor="text1"/>
          <w14:textFill>
            <w14:solidFill>
              <w14:schemeClr w14:val="tx1"/>
            </w14:solidFill>
          </w14:textFill>
        </w:rPr>
        <w:t>左右，千亿级产业</w:t>
      </w:r>
      <w:r>
        <w:rPr>
          <w:rFonts w:hint="eastAsia" w:ascii="Times New Roman" w:hAnsi="Times New Roman" w:cs="Times New Roman"/>
          <w:color w:val="000000" w:themeColor="text1"/>
          <w:lang w:val="en-US" w:eastAsia="zh-CN"/>
          <w14:textFill>
            <w14:solidFill>
              <w14:schemeClr w14:val="tx1"/>
            </w14:solidFill>
          </w14:textFill>
        </w:rPr>
        <w:t>达到2个</w:t>
      </w:r>
      <w:r>
        <w:rPr>
          <w:rFonts w:ascii="Times New Roman" w:hAnsi="Times New Roman" w:cs="Times New Roman"/>
          <w:color w:val="000000" w:themeColor="text1"/>
          <w14:textFill>
            <w14:solidFill>
              <w14:schemeClr w14:val="tx1"/>
            </w14:solidFill>
          </w14:textFill>
        </w:rPr>
        <w:t>，500亿级产业达到</w:t>
      </w: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个，100亿级产业达到</w:t>
      </w:r>
      <w:r>
        <w:rPr>
          <w:rFonts w:hint="eastAsia" w:ascii="Times New Roman" w:hAnsi="Times New Roman" w:cs="Times New Roman"/>
          <w:color w:val="000000" w:themeColor="text1"/>
          <w:lang w:val="en-US" w:eastAsia="zh-CN"/>
          <w14:textFill>
            <w14:solidFill>
              <w14:schemeClr w14:val="tx1"/>
            </w14:solidFill>
          </w14:textFill>
        </w:rPr>
        <w:t>6</w:t>
      </w:r>
      <w:r>
        <w:rPr>
          <w:rFonts w:ascii="Times New Roman" w:hAnsi="Times New Roman" w:cs="Times New Roman"/>
          <w:color w:val="000000" w:themeColor="text1"/>
          <w14:textFill>
            <w14:solidFill>
              <w14:schemeClr w14:val="tx1"/>
            </w14:solidFill>
          </w14:textFill>
        </w:rPr>
        <w:t>个。</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后面配套核实修改</w:t>
      </w:r>
      <w:r>
        <w:rPr>
          <w:rFonts w:hint="eastAsia" w:ascii="Times New Roman" w:hAnsi="Times New Roman" w:cs="Times New Roman"/>
          <w:color w:val="000000" w:themeColor="text1"/>
          <w:lang w:eastAsia="zh-CN"/>
          <w14:textFill>
            <w14:solidFill>
              <w14:schemeClr w14:val="tx1"/>
            </w14:solidFill>
          </w14:textFill>
        </w:rPr>
        <w:t>）</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产业结构实现新优化。</w:t>
      </w:r>
      <w:r>
        <w:rPr>
          <w:rFonts w:ascii="Times New Roman" w:hAnsi="Times New Roman" w:cs="Times New Roman"/>
          <w:color w:val="000000" w:themeColor="text1"/>
          <w14:textFill>
            <w14:solidFill>
              <w14:schemeClr w14:val="tx1"/>
            </w14:solidFill>
          </w14:textFill>
        </w:rPr>
        <w:t>高技术制造业占规模以上工业增加值比重提高到8%以上。</w:t>
      </w:r>
      <w:r>
        <w:rPr>
          <w:rFonts w:hint="eastAsia" w:ascii="Times New Roman" w:hAnsi="Times New Roman" w:cs="Times New Roman"/>
          <w:color w:val="000000" w:themeColor="text1"/>
          <w:lang w:val="en-US" w:eastAsia="zh-CN"/>
          <w14:textFill>
            <w14:solidFill>
              <w14:schemeClr w14:val="tx1"/>
            </w14:solidFill>
          </w14:textFill>
        </w:rPr>
        <w:t>传统</w:t>
      </w:r>
      <w:r>
        <w:rPr>
          <w:rFonts w:ascii="Times New Roman" w:hAnsi="Times New Roman" w:cs="Times New Roman"/>
          <w:color w:val="000000" w:themeColor="text1"/>
          <w14:textFill>
            <w14:solidFill>
              <w14:schemeClr w14:val="tx1"/>
            </w14:solidFill>
          </w14:textFill>
        </w:rPr>
        <w:t>产业增加值占全部制造业增加值的比重</w:t>
      </w:r>
      <w:r>
        <w:rPr>
          <w:rFonts w:hint="eastAsia" w:ascii="Times New Roman" w:hAnsi="Times New Roman" w:cs="Times New Roman"/>
          <w:color w:val="000000" w:themeColor="text1"/>
          <w:lang w:val="en-US" w:eastAsia="zh-CN"/>
          <w14:textFill>
            <w14:solidFill>
              <w14:schemeClr w14:val="tx1"/>
            </w14:solidFill>
          </w14:textFill>
        </w:rPr>
        <w:t>达到</w:t>
      </w:r>
      <w:r>
        <w:rPr>
          <w:rFonts w:ascii="Times New Roman" w:hAnsi="Times New Roman" w:cs="Times New Roman"/>
          <w:color w:val="000000" w:themeColor="text1"/>
          <w14:textFill>
            <w14:solidFill>
              <w14:schemeClr w14:val="tx1"/>
            </w14:solidFill>
          </w14:textFill>
        </w:rPr>
        <w:t>60%，新兴产业增加值占全部制造业增加值的比重达到</w:t>
      </w:r>
      <w:r>
        <w:rPr>
          <w:rFonts w:hint="eastAsia" w:ascii="Times New Roman" w:hAnsi="Times New Roman" w:cs="Times New Roman"/>
          <w:color w:val="000000" w:themeColor="text1"/>
          <w:lang w:val="en-US" w:eastAsia="zh-CN"/>
          <w14:textFill>
            <w14:solidFill>
              <w14:schemeClr w14:val="tx1"/>
            </w14:solidFill>
          </w14:textFill>
        </w:rPr>
        <w:t>20</w:t>
      </w:r>
      <w:r>
        <w:rPr>
          <w:rFonts w:ascii="Times New Roman" w:hAnsi="Times New Roman" w:cs="Times New Roman"/>
          <w:color w:val="000000" w:themeColor="text1"/>
          <w14:textFill>
            <w14:solidFill>
              <w14:schemeClr w14:val="tx1"/>
            </w14:solidFill>
          </w14:textFill>
        </w:rPr>
        <w:t>%。</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创新能力得到新提高。</w:t>
      </w:r>
      <w:r>
        <w:rPr>
          <w:rFonts w:ascii="Times New Roman" w:hAnsi="Times New Roman" w:cs="Times New Roman"/>
          <w:color w:val="000000" w:themeColor="text1"/>
          <w14:textFill>
            <w14:solidFill>
              <w14:schemeClr w14:val="tx1"/>
            </w14:solidFill>
          </w14:textFill>
        </w:rPr>
        <w:t>全市规模以上工业企业研发经费支出与主营业务收入之比达到1.1%；万人发明专利拥有量达到2.6件；科技进步贡献率达到65%，高新技术企业达到240家。</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融合发展达到新水平。</w:t>
      </w:r>
      <w:r>
        <w:rPr>
          <w:rFonts w:ascii="Times New Roman" w:hAnsi="Times New Roman" w:cs="Times New Roman"/>
          <w:color w:val="000000" w:themeColor="text1"/>
          <w14:textFill>
            <w14:solidFill>
              <w14:schemeClr w14:val="tx1"/>
            </w14:solidFill>
          </w14:textFill>
        </w:rPr>
        <w:t>两化融合基础环境进一步改善，智能车间、智能工厂分别达到50家、20家，企业上云数量达到3000家，省级服务型制造试点示范项目数量实现翻番，制造业数字化网络化智能化取得明显进展，智能制造建设模式有效推广。</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绿色发展得到新提升。</w:t>
      </w:r>
      <w:r>
        <w:rPr>
          <w:rFonts w:ascii="Times New Roman" w:hAnsi="Times New Roman" w:cs="Times New Roman"/>
          <w:color w:val="000000" w:themeColor="text1"/>
          <w14:textFill>
            <w14:solidFill>
              <w14:schemeClr w14:val="tx1"/>
            </w14:solidFill>
          </w14:textFill>
        </w:rPr>
        <w:t>绿色制造技术在重点领域得到广泛应用，规模以上单位工业增加值能耗降低12%，单位工业增加值用水量降低24%，一般工业固体废物综合利用率达到95%，用能效率和资源集约利用水平显著提升。</w:t>
      </w:r>
    </w:p>
    <w:tbl>
      <w:tblPr>
        <w:tblStyle w:val="14"/>
        <w:tblW w:w="8961" w:type="dxa"/>
        <w:jc w:val="center"/>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043"/>
        <w:gridCol w:w="5812"/>
        <w:gridCol w:w="1125"/>
        <w:gridCol w:w="981"/>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64" w:hRule="atLeast"/>
          <w:jc w:val="center"/>
        </w:trPr>
        <w:tc>
          <w:tcPr>
            <w:tcW w:w="896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专栏1  制造业高质量发展“十四五”规划主要指标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70" w:hRule="atLeast"/>
          <w:jc w:val="center"/>
        </w:trPr>
        <w:tc>
          <w:tcPr>
            <w:tcW w:w="10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类别</w:t>
            </w:r>
          </w:p>
        </w:tc>
        <w:tc>
          <w:tcPr>
            <w:tcW w:w="581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指标</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2020年</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2025年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3" w:hRule="exact"/>
          <w:jc w:val="center"/>
        </w:trPr>
        <w:tc>
          <w:tcPr>
            <w:tcW w:w="1043"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综合实力</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规模以上制造业增加值增速（%）</w:t>
            </w:r>
          </w:p>
        </w:tc>
        <w:tc>
          <w:tcPr>
            <w:tcW w:w="1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3"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制造业增加值占全市GDP比重（%）</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FF0000"/>
                <w:kern w:val="0"/>
                <w:sz w:val="24"/>
                <w:szCs w:val="24"/>
                <w:lang w:val="en-US" w:eastAsia="zh-CN"/>
              </w:rPr>
              <w:t>3</w:t>
            </w:r>
            <w:r>
              <w:rPr>
                <w:rFonts w:ascii="Times New Roman" w:hAnsi="Times New Roman" w:cs="Times New Roman"/>
                <w:color w:val="FF0000"/>
                <w:kern w:val="0"/>
                <w:sz w:val="24"/>
                <w:szCs w:val="24"/>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3"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千亿级产业数量（个）</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3"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五百亿级产业数量（个）</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3"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百亿级产业数量（个）</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33" w:hRule="exact"/>
          <w:jc w:val="center"/>
        </w:trPr>
        <w:tc>
          <w:tcPr>
            <w:tcW w:w="1043"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产业结构</w:t>
            </w:r>
          </w:p>
        </w:tc>
        <w:tc>
          <w:tcPr>
            <w:tcW w:w="5812" w:type="dxa"/>
            <w:tcBorders>
              <w:top w:val="single" w:color="auto" w:sz="4" w:space="0"/>
              <w:left w:val="nil"/>
              <w:bottom w:val="single" w:color="auto" w:sz="4" w:space="0"/>
              <w:right w:val="single" w:color="auto" w:sz="4" w:space="0"/>
            </w:tcBorders>
            <w:vAlign w:val="center"/>
          </w:tcPr>
          <w:p>
            <w:pPr>
              <w:widowControl/>
              <w:jc w:val="both"/>
              <w:rPr>
                <w:rFonts w:hint="eastAsia"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高技术产业占规模以上工业增加值比重（%）</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22"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Times New Roman" w:hAnsi="Times New Roman" w:cs="Times New Roman"/>
                <w:color w:val="000000" w:themeColor="text1"/>
                <w:kern w:val="0"/>
                <w:sz w:val="24"/>
                <w:szCs w:val="24"/>
                <w14:textFill>
                  <w14:solidFill>
                    <w14:schemeClr w14:val="tx1"/>
                  </w14:solidFill>
                </w14:textFill>
              </w:rPr>
            </w:pPr>
          </w:p>
        </w:tc>
        <w:tc>
          <w:tcPr>
            <w:tcW w:w="5812" w:type="dxa"/>
            <w:tcBorders>
              <w:top w:val="nil"/>
              <w:left w:val="nil"/>
              <w:bottom w:val="single" w:color="auto" w:sz="4" w:space="0"/>
              <w:right w:val="single" w:color="auto" w:sz="4" w:space="0"/>
            </w:tcBorders>
            <w:vAlign w:val="center"/>
          </w:tcPr>
          <w:p>
            <w:pPr>
              <w:widowControl/>
              <w:jc w:val="both"/>
              <w:rPr>
                <w:rFonts w:hint="eastAsia"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新兴产业增加值占规模以上工业增加值的比重（%）</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FF0000"/>
                <w:kern w:val="0"/>
                <w:sz w:val="24"/>
                <w:szCs w:val="24"/>
                <w:lang w:val="en-US" w:eastAsia="zh-CN"/>
              </w:rPr>
            </w:pPr>
            <w:r>
              <w:rPr>
                <w:rFonts w:hint="eastAsia" w:ascii="Times New Roman" w:hAnsi="Times New Roman" w:cs="Times New Roman"/>
                <w:color w:val="FF0000"/>
                <w:kern w:val="0"/>
                <w:sz w:val="24"/>
                <w:szCs w:val="24"/>
                <w:lang w:val="en-US" w:eastAsia="zh-CN"/>
              </w:rPr>
              <w:t>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7"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Times New Roman" w:hAnsi="Times New Roman" w:cs="Times New Roman"/>
                <w:color w:val="000000" w:themeColor="text1"/>
                <w:kern w:val="0"/>
                <w:sz w:val="24"/>
                <w:szCs w:val="24"/>
                <w14:textFill>
                  <w14:solidFill>
                    <w14:schemeClr w14:val="tx1"/>
                  </w14:solidFill>
                </w14:textFill>
              </w:rPr>
            </w:pPr>
          </w:p>
        </w:tc>
        <w:tc>
          <w:tcPr>
            <w:tcW w:w="5812"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14:textFill>
                  <w14:solidFill>
                    <w14:schemeClr w14:val="tx1"/>
                  </w14:solidFill>
                </w14:textFill>
              </w:rPr>
              <w:t>传统产业增加值占规模以上工业增加值的比重（%）</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FF0000"/>
                <w:kern w:val="0"/>
                <w:sz w:val="24"/>
                <w:szCs w:val="24"/>
                <w:lang w:val="en-US" w:eastAsia="zh-CN"/>
              </w:rPr>
            </w:pPr>
            <w:r>
              <w:rPr>
                <w:rFonts w:hint="eastAsia" w:ascii="Times New Roman" w:hAnsi="Times New Roman" w:cs="Times New Roman"/>
                <w:color w:val="FF0000"/>
                <w:kern w:val="0"/>
                <w:sz w:val="24"/>
                <w:szCs w:val="24"/>
                <w:lang w:val="en-US" w:eastAsia="zh-CN"/>
              </w:rPr>
              <w:t>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22" w:hRule="exact"/>
          <w:jc w:val="center"/>
        </w:trPr>
        <w:tc>
          <w:tcPr>
            <w:tcW w:w="10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创新能力</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全市</w:t>
            </w:r>
            <w:r>
              <w:rPr>
                <w:rFonts w:ascii="Times New Roman" w:hAnsi="Times New Roman" w:cs="Times New Roman"/>
                <w:color w:val="000000" w:themeColor="text1"/>
                <w:kern w:val="0"/>
                <w:sz w:val="24"/>
                <w:szCs w:val="24"/>
                <w14:textFill>
                  <w14:solidFill>
                    <w14:schemeClr w14:val="tx1"/>
                  </w14:solidFill>
                </w14:textFill>
              </w:rPr>
              <w:t>研发与试验发展经费投入强</w:t>
            </w:r>
            <w:r>
              <w:rPr>
                <w:rFonts w:ascii="Times New Roman" w:hAnsi="Times New Roman" w:cs="Times New Roman"/>
                <w:color w:val="000000" w:themeColor="text1"/>
                <w:sz w:val="24"/>
                <w:szCs w:val="24"/>
                <w14:textFill>
                  <w14:solidFill>
                    <w14:schemeClr w14:val="tx1"/>
                  </w14:solidFill>
                </w14:textFill>
              </w:rPr>
              <w:t>度</w:t>
            </w:r>
            <w:r>
              <w:rPr>
                <w:rFonts w:ascii="Times New Roman" w:hAnsi="Times New Roman" w:cs="Times New Roman"/>
                <w:color w:val="000000" w:themeColor="text1"/>
                <w:kern w:val="0"/>
                <w:sz w:val="24"/>
                <w:szCs w:val="24"/>
                <w14:textFill>
                  <w14:solidFill>
                    <w14:schemeClr w14:val="tx1"/>
                  </w14:solidFill>
                </w14:textFill>
              </w:rPr>
              <w:t>（%）</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2"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万人发明专利拥有量（件）</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7"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省级及以上制造业创新中心数量（家）</w:t>
            </w:r>
          </w:p>
        </w:tc>
        <w:tc>
          <w:tcPr>
            <w:tcW w:w="112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7"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高新技术企业数（家）</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240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77"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省级工程技术研究中心（家）</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3"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科技进步贡献率（%）</w:t>
            </w:r>
          </w:p>
        </w:tc>
        <w:tc>
          <w:tcPr>
            <w:tcW w:w="11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86" w:hRule="exact"/>
          <w:jc w:val="center"/>
        </w:trPr>
        <w:tc>
          <w:tcPr>
            <w:tcW w:w="10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融合发展</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智能车间、智能工厂累计数量（家）</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50家智能车间，20家智能工厂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3"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省级</w:t>
            </w:r>
            <w:r>
              <w:rPr>
                <w:rFonts w:hint="eastAsia" w:ascii="Times New Roman" w:hAnsi="Times New Roman" w:cs="Times New Roman"/>
                <w:color w:val="000000" w:themeColor="text1"/>
                <w:kern w:val="0"/>
                <w:sz w:val="24"/>
                <w:szCs w:val="24"/>
                <w:lang w:val="en-US" w:eastAsia="zh-CN"/>
                <w14:textFill>
                  <w14:solidFill>
                    <w14:schemeClr w14:val="tx1"/>
                  </w14:solidFill>
                </w14:textFill>
              </w:rPr>
              <w:t>及以上</w:t>
            </w:r>
            <w:r>
              <w:rPr>
                <w:rFonts w:ascii="Times New Roman" w:hAnsi="Times New Roman" w:cs="Times New Roman"/>
                <w:color w:val="000000" w:themeColor="text1"/>
                <w:kern w:val="0"/>
                <w:sz w:val="24"/>
                <w:szCs w:val="24"/>
                <w14:textFill>
                  <w14:solidFill>
                    <w14:schemeClr w14:val="tx1"/>
                  </w14:solidFill>
                </w14:textFill>
              </w:rPr>
              <w:t>服务型制造试点示范项目数量（家）</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3"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企业上云数量（家）</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3" w:hRule="exact"/>
          <w:jc w:val="center"/>
        </w:trPr>
        <w:tc>
          <w:tcPr>
            <w:tcW w:w="10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绿色发展</w:t>
            </w:r>
          </w:p>
        </w:tc>
        <w:tc>
          <w:tcPr>
            <w:tcW w:w="581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规模以上单位工业增加值能耗降低（%）</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3"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单位工业增加值用水量降低（%）</w:t>
            </w:r>
          </w:p>
        </w:tc>
        <w:tc>
          <w:tcPr>
            <w:tcW w:w="112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3"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一般工业固体废物综合利用率（%）</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45" w:hRule="exact"/>
          <w:jc w:val="center"/>
        </w:trPr>
        <w:tc>
          <w:tcPr>
            <w:tcW w:w="10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p>
        </w:tc>
        <w:tc>
          <w:tcPr>
            <w:tcW w:w="5812"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省级及以上</w:t>
            </w:r>
            <w:r>
              <w:rPr>
                <w:rFonts w:ascii="Times New Roman" w:hAnsi="Times New Roman" w:cs="Times New Roman"/>
                <w:color w:val="000000" w:themeColor="text1"/>
                <w:kern w:val="0"/>
                <w:sz w:val="24"/>
                <w:szCs w:val="24"/>
                <w14:textFill>
                  <w14:solidFill>
                    <w14:schemeClr w14:val="tx1"/>
                  </w14:solidFill>
                </w14:textFill>
              </w:rPr>
              <w:t>绿色工厂累计数量（家）</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lang w:val="en-US"/>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w:t>
            </w: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10家国家级，30家省级</w:t>
            </w:r>
          </w:p>
        </w:tc>
      </w:tr>
    </w:tbl>
    <w:p>
      <w:pPr>
        <w:spacing w:line="560" w:lineRule="exact"/>
        <w:rPr>
          <w:rFonts w:ascii="Times New Roman" w:hAnsi="Times New Roman" w:cs="Times New Roman"/>
          <w:color w:val="000000" w:themeColor="text1"/>
          <w14:textFill>
            <w14:solidFill>
              <w14:schemeClr w14:val="tx1"/>
            </w14:solidFill>
          </w14:textFill>
        </w:rPr>
        <w:sectPr>
          <w:footerReference r:id="rId8" w:type="default"/>
          <w:pgSz w:w="11906" w:h="16838"/>
          <w:pgMar w:top="2098" w:right="1474" w:bottom="1984" w:left="1587" w:header="851" w:footer="992" w:gutter="0"/>
          <w:pgNumType w:fmt="decimal"/>
          <w:cols w:space="425" w:num="1"/>
          <w:docGrid w:type="lines" w:linePitch="312" w:charSpace="0"/>
        </w:sectPr>
      </w:pPr>
    </w:p>
    <w:p>
      <w:pPr>
        <w:pStyle w:val="4"/>
        <w:rPr>
          <w:rFonts w:ascii="Times New Roman" w:hAnsi="Times New Roman" w:cs="Times New Roman"/>
          <w:color w:val="000000" w:themeColor="text1"/>
          <w14:textFill>
            <w14:solidFill>
              <w14:schemeClr w14:val="tx1"/>
            </w14:solidFill>
          </w14:textFill>
        </w:rPr>
      </w:pPr>
      <w:bookmarkStart w:id="36" w:name="_Toc62834775"/>
      <w:bookmarkStart w:id="37" w:name="_Toc9998"/>
      <w:bookmarkStart w:id="38" w:name="_Toc2483"/>
      <w:r>
        <w:rPr>
          <w:rFonts w:ascii="Times New Roman" w:hAnsi="Times New Roman" w:cs="Times New Roman"/>
          <w:color w:val="000000" w:themeColor="text1"/>
          <w14:textFill>
            <w14:solidFill>
              <w14:schemeClr w14:val="tx1"/>
            </w14:solidFill>
          </w14:textFill>
        </w:rPr>
        <w:t xml:space="preserve">第三章  </w:t>
      </w:r>
      <w:bookmarkEnd w:id="36"/>
      <w:r>
        <w:rPr>
          <w:rFonts w:hint="eastAsia" w:ascii="Times New Roman" w:hAnsi="Times New Roman" w:cs="Times New Roman"/>
          <w:color w:val="000000" w:themeColor="text1"/>
          <w:lang w:val="en-US" w:eastAsia="zh-CN"/>
          <w14:textFill>
            <w14:solidFill>
              <w14:schemeClr w14:val="tx1"/>
            </w14:solidFill>
          </w14:textFill>
        </w:rPr>
        <w:t>构建</w:t>
      </w:r>
      <w:r>
        <w:rPr>
          <w:rFonts w:ascii="Times New Roman" w:hAnsi="Times New Roman" w:cs="Times New Roman"/>
          <w:color w:val="000000" w:themeColor="text1"/>
          <w14:textFill>
            <w14:solidFill>
              <w14:schemeClr w14:val="tx1"/>
            </w14:solidFill>
          </w14:textFill>
        </w:rPr>
        <w:t>现代</w:t>
      </w:r>
      <w:r>
        <w:rPr>
          <w:rFonts w:hint="eastAsia" w:ascii="Times New Roman" w:hAnsi="Times New Roman" w:cs="Times New Roman"/>
          <w:color w:val="000000" w:themeColor="text1"/>
          <w:lang w:val="en-US" w:eastAsia="zh-CN"/>
          <w14:textFill>
            <w14:solidFill>
              <w14:schemeClr w14:val="tx1"/>
            </w14:solidFill>
          </w14:textFill>
        </w:rPr>
        <w:t>产业</w:t>
      </w:r>
      <w:r>
        <w:rPr>
          <w:rFonts w:ascii="Times New Roman" w:hAnsi="Times New Roman" w:cs="Times New Roman"/>
          <w:color w:val="000000" w:themeColor="text1"/>
          <w14:textFill>
            <w14:solidFill>
              <w14:schemeClr w14:val="tx1"/>
            </w14:solidFill>
          </w14:textFill>
        </w:rPr>
        <w:t>体系</w:t>
      </w:r>
      <w:bookmarkEnd w:id="37"/>
      <w:bookmarkEnd w:id="38"/>
    </w:p>
    <w:p>
      <w:pPr>
        <w:ind w:firstLine="640" w:firstLineChars="200"/>
        <w:rPr>
          <w:rFonts w:ascii="Times New Roman" w:hAnsi="Times New Roman" w:cs="Times New Roman"/>
          <w:color w:val="000000" w:themeColor="text1"/>
          <w14:textFill>
            <w14:solidFill>
              <w14:schemeClr w14:val="tx1"/>
            </w14:solidFill>
          </w14:textFill>
        </w:rPr>
      </w:pPr>
    </w:p>
    <w:p>
      <w:pPr>
        <w:pStyle w:val="22"/>
        <w:rPr>
          <w:rFonts w:ascii="Times New Roman" w:hAnsi="Times New Roman" w:cs="Times New Roman"/>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“高端化、智能化、绿色化、服务化”转型</w:t>
      </w:r>
      <w:r>
        <w:rPr>
          <w:rFonts w:hint="eastAsia"/>
          <w:color w:val="000000" w:themeColor="text1"/>
          <w:lang w:val="en-US" w:eastAsia="zh-CN"/>
          <w14:textFill>
            <w14:solidFill>
              <w14:schemeClr w14:val="tx1"/>
            </w14:solidFill>
          </w14:textFill>
        </w:rPr>
        <w:t>为主攻</w:t>
      </w:r>
      <w:r>
        <w:rPr>
          <w:rFonts w:hint="eastAsia"/>
          <w:color w:val="000000" w:themeColor="text1"/>
          <w14:textFill>
            <w14:solidFill>
              <w14:schemeClr w14:val="tx1"/>
            </w14:solidFill>
          </w14:textFill>
        </w:rPr>
        <w:t>方向</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构</w:t>
      </w:r>
      <w:r>
        <w:rPr>
          <w:rFonts w:hint="eastAsia"/>
          <w:color w:val="000000" w:themeColor="text1"/>
          <w:lang w:val="en-US" w:eastAsia="zh-CN"/>
          <w14:textFill>
            <w14:solidFill>
              <w14:schemeClr w14:val="tx1"/>
            </w14:solidFill>
          </w14:textFill>
        </w:rPr>
        <w:t>建</w:t>
      </w:r>
      <w:r>
        <w:rPr>
          <w:rFonts w:hint="eastAsia"/>
          <w:color w:val="000000" w:themeColor="text1"/>
          <w14:textFill>
            <w14:solidFill>
              <w14:schemeClr w14:val="tx1"/>
            </w14:solidFill>
          </w14:textFill>
        </w:rPr>
        <w:t>“传统产业为基础、新兴产业为支柱、未来产业为先导”</w:t>
      </w:r>
      <w:r>
        <w:rPr>
          <w:rFonts w:hint="eastAsia"/>
          <w:color w:val="000000" w:themeColor="text1"/>
          <w:lang w:val="en-US" w:eastAsia="zh-CN"/>
          <w14:textFill>
            <w14:solidFill>
              <w14:schemeClr w14:val="tx1"/>
            </w14:solidFill>
          </w14:textFill>
        </w:rPr>
        <w:t>现代产业</w:t>
      </w:r>
      <w:r>
        <w:rPr>
          <w:rFonts w:hint="eastAsia"/>
          <w:color w:val="000000" w:themeColor="text1"/>
          <w14:textFill>
            <w14:solidFill>
              <w14:schemeClr w14:val="tx1"/>
            </w14:solidFill>
          </w14:textFill>
        </w:rPr>
        <w:t>体系</w:t>
      </w:r>
      <w:r>
        <w:rPr>
          <w:rFonts w:hint="eastAsia"/>
          <w:color w:val="000000" w:themeColor="text1"/>
          <w:lang w:val="en-US" w:eastAsia="zh-CN"/>
          <w14:textFill>
            <w14:solidFill>
              <w14:schemeClr w14:val="tx1"/>
            </w14:solidFill>
          </w14:textFill>
        </w:rPr>
        <w:t>为重点</w:t>
      </w:r>
      <w:r>
        <w:rPr>
          <w:rFonts w:hint="eastAsia"/>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强化创新驱动、数字牵引、绿色转型和集群发展</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提质发展</w:t>
      </w:r>
      <w:r>
        <w:rPr>
          <w:rFonts w:ascii="Times New Roman" w:hAnsi="Times New Roman" w:cs="Times New Roman"/>
          <w:color w:val="000000" w:themeColor="text1"/>
          <w14:textFill>
            <w14:solidFill>
              <w14:schemeClr w14:val="tx1"/>
            </w14:solidFill>
          </w14:textFill>
        </w:rPr>
        <w:t>化工、装备制造、食品加工</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现代家居、羽绒制品</w:t>
      </w:r>
      <w:r>
        <w:rPr>
          <w:rFonts w:hint="eastAsia" w:ascii="Times New Roman" w:hAnsi="Times New Roman" w:cs="Times New Roman"/>
          <w:color w:val="000000" w:themeColor="text1"/>
          <w:lang w:val="en-US" w:eastAsia="zh-CN"/>
          <w14:textFill>
            <w14:solidFill>
              <w14:schemeClr w14:val="tx1"/>
            </w14:solidFill>
          </w14:textFill>
        </w:rPr>
        <w:t>5大传统产业，培育壮大</w:t>
      </w:r>
      <w:r>
        <w:rPr>
          <w:rFonts w:ascii="Times New Roman" w:hAnsi="Times New Roman" w:cs="Times New Roman"/>
          <w:color w:val="000000" w:themeColor="text1"/>
          <w14:textFill>
            <w14:solidFill>
              <w14:schemeClr w14:val="tx1"/>
            </w14:solidFill>
          </w14:textFill>
        </w:rPr>
        <w:t>新材料、新能源、节能环保、新一代信息技术</w:t>
      </w:r>
      <w:r>
        <w:rPr>
          <w:rFonts w:hint="eastAsia" w:ascii="Times New Roman" w:hAnsi="Times New Roman" w:cs="Times New Roman"/>
          <w:color w:val="000000" w:themeColor="text1"/>
          <w:lang w:val="en-US" w:eastAsia="zh-CN"/>
          <w14:textFill>
            <w14:solidFill>
              <w14:schemeClr w14:val="tx1"/>
            </w14:solidFill>
          </w14:textFill>
        </w:rPr>
        <w:t>4大新兴</w:t>
      </w:r>
      <w:r>
        <w:rPr>
          <w:rFonts w:ascii="Times New Roman" w:hAnsi="Times New Roman" w:cs="Times New Roman"/>
          <w:color w:val="000000" w:themeColor="text1"/>
          <w14:textFill>
            <w14:solidFill>
              <w14:schemeClr w14:val="tx1"/>
            </w14:solidFill>
          </w14:textFill>
        </w:rPr>
        <w:t>产业</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前瞻布局</w:t>
      </w:r>
      <w:r>
        <w:rPr>
          <w:rFonts w:hint="eastAsia" w:ascii="Times New Roman" w:hAnsi="Times New Roman" w:cs="Times New Roman"/>
          <w:color w:val="000000" w:themeColor="text1"/>
          <w:lang w:val="en-US" w:eastAsia="zh-CN"/>
          <w14:textFill>
            <w14:solidFill>
              <w14:schemeClr w14:val="tx1"/>
            </w14:solidFill>
          </w14:textFill>
        </w:rPr>
        <w:t>氢能</w:t>
      </w:r>
      <w:r>
        <w:rPr>
          <w:rFonts w:ascii="Times New Roman" w:hAnsi="Times New Roman" w:cs="Times New Roman"/>
          <w:color w:val="000000" w:themeColor="text1"/>
          <w14:textFill>
            <w14:solidFill>
              <w14:schemeClr w14:val="tx1"/>
            </w14:solidFill>
          </w14:textFill>
        </w:rPr>
        <w:t>未来产业</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加快提升产业基础高级化、产业链现代化水平</w:t>
      </w:r>
      <w:r>
        <w:rPr>
          <w:rFonts w:hint="eastAsia" w:ascii="Times New Roman" w:hAnsi="Times New Roman" w:cs="Times New Roman"/>
          <w:color w:val="000000" w:themeColor="text1"/>
          <w:lang w:eastAsia="zh-CN"/>
          <w14:textFill>
            <w14:solidFill>
              <w14:schemeClr w14:val="tx1"/>
            </w14:solidFill>
          </w14:textFill>
        </w:rPr>
        <w:t>。</w:t>
      </w:r>
      <w:bookmarkStart w:id="39" w:name="_Toc62834776"/>
    </w:p>
    <w:p>
      <w:pPr>
        <w:pStyle w:val="5"/>
        <w:spacing w:line="240" w:lineRule="auto"/>
        <w:ind w:firstLine="0" w:firstLineChars="0"/>
        <w:jc w:val="center"/>
        <w:rPr>
          <w:rFonts w:hint="default" w:ascii="Times New Roman" w:hAnsi="Times New Roman" w:cs="Times New Roman"/>
          <w:color w:val="000000" w:themeColor="text1"/>
          <w:lang w:val="en-US"/>
          <w14:textFill>
            <w14:solidFill>
              <w14:schemeClr w14:val="tx1"/>
            </w14:solidFill>
          </w14:textFill>
        </w:rPr>
      </w:pPr>
      <w:bookmarkStart w:id="40" w:name="_Toc623"/>
      <w:bookmarkStart w:id="41" w:name="_Toc29624"/>
      <w:r>
        <w:rPr>
          <w:rFonts w:ascii="Times New Roman" w:hAnsi="Times New Roman" w:cs="Times New Roman"/>
          <w:color w:val="000000" w:themeColor="text1"/>
          <w14:textFill>
            <w14:solidFill>
              <w14:schemeClr w14:val="tx1"/>
            </w14:solidFill>
          </w14:textFill>
        </w:rPr>
        <w:t xml:space="preserve">第一节  </w:t>
      </w:r>
      <w:bookmarkEnd w:id="39"/>
      <w:bookmarkEnd w:id="40"/>
      <w:r>
        <w:rPr>
          <w:rFonts w:hint="eastAsia" w:ascii="Times New Roman" w:hAnsi="Times New Roman" w:cs="Times New Roman"/>
          <w:color w:val="000000" w:themeColor="text1"/>
          <w:lang w:val="en-US" w:eastAsia="zh-CN"/>
          <w14:textFill>
            <w14:solidFill>
              <w14:schemeClr w14:val="tx1"/>
            </w14:solidFill>
          </w14:textFill>
        </w:rPr>
        <w:t>提质发展传统产业</w:t>
      </w:r>
      <w:bookmarkEnd w:id="41"/>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42" w:name="_Toc29482"/>
      <w:bookmarkStart w:id="43" w:name="_Toc12973"/>
      <w:bookmarkStart w:id="44" w:name="_Toc62834777"/>
      <w:r>
        <w:rPr>
          <w:rFonts w:ascii="Times New Roman" w:hAnsi="Times New Roman" w:cs="Times New Roman"/>
          <w:color w:val="000000" w:themeColor="text1"/>
          <w14:textFill>
            <w14:solidFill>
              <w14:schemeClr w14:val="tx1"/>
            </w14:solidFill>
          </w14:textFill>
        </w:rPr>
        <w:t>一、化工产业</w:t>
      </w:r>
      <w:bookmarkEnd w:id="42"/>
      <w:bookmarkEnd w:id="43"/>
      <w:bookmarkEnd w:id="44"/>
    </w:p>
    <w:p>
      <w:pPr>
        <w:ind w:firstLine="640" w:firstLineChars="200"/>
        <w:rPr>
          <w:rFonts w:ascii="Times New Roman" w:hAnsi="Times New Roman" w:eastAsia="楷体_GB2312" w:cs="Times New Roman"/>
          <w:color w:val="000000" w:themeColor="text1"/>
          <w14:textFill>
            <w14:solidFill>
              <w14:schemeClr w14:val="tx1"/>
            </w14:solidFill>
          </w14:textFill>
        </w:rPr>
      </w:pPr>
      <w:bookmarkStart w:id="45" w:name="_Toc15876"/>
      <w:bookmarkStart w:id="46" w:name="_Toc62834778"/>
      <w:r>
        <w:rPr>
          <w:rFonts w:ascii="Times New Roman" w:hAnsi="Times New Roman" w:eastAsia="楷体_GB2312" w:cs="Times New Roman"/>
          <w:color w:val="000000" w:themeColor="text1"/>
          <w14:textFill>
            <w14:solidFill>
              <w14:schemeClr w14:val="tx1"/>
            </w14:solidFill>
          </w14:textFill>
        </w:rPr>
        <w:t>（一）发展基础</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濮阳拥有独特的油气资源优势，具有较强的基础化工生产能力，是河南省唯一具备化工原料多元化条件的地区。行业涉及石油及天然气加工、煤化工、生物化工等领域，全市石化产业规模以上企业达161家，产品达500余种，已形成了门类日趋齐全、品种基本配套的化工产业体系，具有较强的产业承载能力、良好的合作开放基础和充足的人才支撑。“十三五”末，全市化工产业规划达到500.2亿元规模。</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资源能源丰富。</w:t>
      </w:r>
      <w:r>
        <w:rPr>
          <w:rFonts w:ascii="Times New Roman" w:hAnsi="Times New Roman" w:cs="Times New Roman"/>
          <w:color w:val="000000" w:themeColor="text1"/>
          <w14:textFill>
            <w14:solidFill>
              <w14:schemeClr w14:val="tx1"/>
            </w14:solidFill>
          </w14:textFill>
        </w:rPr>
        <w:t>中原油田年产原油120万吨左右、天然气</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亿方左右，丰利石化拥有原油进口资质222万吨，榆济、中沧、新粤浙等输气管线汇集濮阳，</w:t>
      </w:r>
      <w:r>
        <w:rPr>
          <w:rFonts w:hint="eastAsia" w:ascii="Times New Roman" w:hAnsi="Times New Roman" w:cs="Times New Roman"/>
          <w:color w:val="000000" w:themeColor="text1"/>
          <w14:textFill>
            <w14:solidFill>
              <w14:schemeClr w14:val="tx1"/>
            </w14:solidFill>
          </w14:textFill>
        </w:rPr>
        <w:t>濮范台等输气管线建成投用，长输管道达到707千米，天然气输配中心地位进一步突显；</w:t>
      </w:r>
      <w:r>
        <w:rPr>
          <w:rFonts w:ascii="Times New Roman" w:hAnsi="Times New Roman" w:cs="Times New Roman"/>
          <w:color w:val="000000" w:themeColor="text1"/>
          <w14:textFill>
            <w14:solidFill>
              <w14:schemeClr w14:val="tx1"/>
            </w14:solidFill>
          </w14:textFill>
        </w:rPr>
        <w:t>库容10亿立方米的文96地下储气库</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库容104亿立方米的文23战略储气库</w:t>
      </w:r>
      <w:r>
        <w:rPr>
          <w:rFonts w:hint="eastAsia" w:ascii="Times New Roman" w:hAnsi="Times New Roman" w:cs="Times New Roman"/>
          <w:color w:val="000000" w:themeColor="text1"/>
          <w14:textFill>
            <w14:solidFill>
              <w14:schemeClr w14:val="tx1"/>
            </w14:solidFill>
          </w14:textFill>
        </w:rPr>
        <w:t>一期工程建成投用</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境内储气能力达到114亿立方米，</w:t>
      </w:r>
      <w:r>
        <w:rPr>
          <w:rFonts w:ascii="Times New Roman" w:hAnsi="Times New Roman" w:cs="Times New Roman"/>
          <w:color w:val="000000" w:themeColor="text1"/>
          <w14:textFill>
            <w14:solidFill>
              <w14:schemeClr w14:val="tx1"/>
            </w14:solidFill>
          </w14:textFill>
        </w:rPr>
        <w:t>将形成规模500亿立方米的国内最大储气库群。</w:t>
      </w:r>
    </w:p>
    <w:p>
      <w:pPr>
        <w:pStyle w:val="2"/>
        <w:ind w:firstLine="643"/>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产业链条完备。</w:t>
      </w:r>
      <w:r>
        <w:rPr>
          <w:rFonts w:ascii="Times New Roman" w:hAnsi="Times New Roman" w:eastAsia="仿宋_GB2312" w:cs="Times New Roman"/>
          <w:color w:val="000000" w:themeColor="text1"/>
          <w14:textFill>
            <w14:solidFill>
              <w14:schemeClr w14:val="tx1"/>
            </w14:solidFill>
          </w14:textFill>
        </w:rPr>
        <w:t>濮阳拥有中原油田、中原乙烯、中原大化、丰利石化等一批大型化工企业，已经形成了300万吨炼化、60万吨烯烃、100万吨芳烃、70万吨甲醇等生产能力，基础化工原料丰富，C2至C9链齐备，为产业链条向中下游延伸提供了支撑。近年来，围绕化工新材料产业发展，培育了盛通聚源、濮阳惠成、迈奇化学、蔚林化工等一批在国内外同行业具有较强影响力的骨干企业，已形成炼化—烯烃、芳烃—化工新材料、功能化学品、专用化学品等较为完备的产业链条。</w:t>
      </w:r>
    </w:p>
    <w:p>
      <w:pPr>
        <w:pStyle w:val="2"/>
        <w:ind w:firstLine="643"/>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人才技术支撑有力。</w:t>
      </w:r>
      <w:r>
        <w:rPr>
          <w:rFonts w:ascii="Times New Roman" w:hAnsi="Times New Roman" w:eastAsia="仿宋_GB2312" w:cs="Times New Roman"/>
          <w:color w:val="000000" w:themeColor="text1"/>
          <w14:textFill>
            <w14:solidFill>
              <w14:schemeClr w14:val="tx1"/>
            </w14:solidFill>
          </w14:textFill>
        </w:rPr>
        <w:t>濮阳市“因油而建、因油而兴”，经过多年的持续发展，石化产业“软实力”不断增强。企业自主创新能力不断增强，中原大化甲基丙烯酸甲酯、盛通聚源聚碳酸酯、沃森超高分子量聚乙烯等一批关键技术研发上取得了重大突破。各石化企业培育并储备了一大批石化专业技术人才，同时着重培育了一批熟悉化工技术研发、生产、市场营销和管理的复合型人才,随着濮阳石油化工技术学院</w:t>
      </w:r>
      <w:r>
        <w:rPr>
          <w:rFonts w:hint="eastAsia" w:ascii="Times New Roman" w:hAnsi="Times New Roman" w:eastAsia="仿宋_GB2312" w:cs="Times New Roman"/>
          <w:color w:val="000000" w:themeColor="text1"/>
          <w14:textFill>
            <w14:solidFill>
              <w14:schemeClr w14:val="tx1"/>
            </w14:solidFill>
          </w14:textFill>
        </w:rPr>
        <w:t>开始招生</w:t>
      </w:r>
      <w:r>
        <w:rPr>
          <w:rFonts w:ascii="Times New Roman" w:hAnsi="Times New Roman" w:eastAsia="仿宋_GB2312" w:cs="Times New Roman"/>
          <w:color w:val="000000" w:themeColor="text1"/>
          <w14:textFill>
            <w14:solidFill>
              <w14:schemeClr w14:val="tx1"/>
            </w14:solidFill>
          </w14:textFill>
        </w:rPr>
        <w:t>，未来将为濮阳化工产业输送更多优质人才。</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“十四五”期间，将是中国石化产业由大国向强国跨越的最关键五年，也是濮阳市石化产业转型升级、高质量发展最关键的五年。随着一大批国家新基建项目快速实施、一系列行业传统产品结构的加快升级、“</w:t>
      </w:r>
      <w:r>
        <w:rPr>
          <w:rFonts w:hint="eastAsia" w:ascii="Times New Roman" w:hAnsi="Times New Roman" w:cs="Times New Roman"/>
          <w:color w:val="000000" w:themeColor="text1"/>
          <w14:textFill>
            <w14:solidFill>
              <w14:schemeClr w14:val="tx1"/>
            </w14:solidFill>
          </w14:textFill>
        </w:rPr>
        <w:t>碳达峰</w:t>
      </w:r>
      <w:r>
        <w:rPr>
          <w:rFonts w:ascii="Times New Roman" w:hAnsi="Times New Roman" w:cs="Times New Roman"/>
          <w:color w:val="000000" w:themeColor="text1"/>
          <w14:textFill>
            <w14:solidFill>
              <w14:schemeClr w14:val="tx1"/>
            </w14:solidFill>
          </w14:textFill>
        </w:rPr>
        <w:t>碳中和”持续推进，行业对高端化、绿色化、数字化的要求也将越来越高，国际产能合作的空间也将越来越大，这些因素将会有力拉动化工新材料、电子化学品、基本化工原料、高端涂料等的市场需求，带动相关配套产业的蓬勃发展，石化产业正在迸发出无限的需求和商机，这为濮阳化工产业进一步做大做优、融入国际国内双循环格局提供了良好的发展机遇。</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（二）发展思路</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坚持“安全第一、生态优先、绿色发展、循环高效”原则，对标国内一流化工园区，以原料产品项目、公用工程物流、环境保护生态、安全消防应急、智能智慧数据、管理服务科创“六个一体化”为理念，</w:t>
      </w:r>
      <w:r>
        <w:rPr>
          <w:rFonts w:hint="eastAsia" w:ascii="Times New Roman" w:hAnsi="Times New Roman" w:eastAsia="仿宋_GB2312" w:cs="Times New Roman"/>
          <w:color w:val="000000" w:themeColor="text1"/>
          <w14:textFill>
            <w14:solidFill>
              <w14:schemeClr w14:val="tx1"/>
            </w14:solidFill>
          </w14:textFill>
        </w:rPr>
        <w:t>以多元化基础化工原料为基础，重点拓展乙烯、丙烯、碳四、碳五、苯等五大产业链条，培育打造聚碳新材料、绿色涂料、高端聚烯烃、生物降解材料、电子化学品、绿色功能助剂等六大特色园区，多措并举、多链并构、多向并进，构建“一基五链六园区”产业发展格局，</w:t>
      </w:r>
      <w:r>
        <w:rPr>
          <w:rFonts w:ascii="Times New Roman" w:hAnsi="Times New Roman" w:eastAsia="仿宋_GB2312" w:cs="Times New Roman"/>
          <w:color w:val="000000" w:themeColor="text1"/>
          <w14:textFill>
            <w14:solidFill>
              <w14:schemeClr w14:val="tx1"/>
            </w14:solidFill>
          </w14:textFill>
        </w:rPr>
        <w:t>配套发展公辅、物流、研发等生产性服务业</w:t>
      </w:r>
      <w:r>
        <w:rPr>
          <w:rFonts w:hint="eastAsia" w:ascii="Times New Roman" w:hAnsi="Times New Roman" w:eastAsia="仿宋_GB2312" w:cs="Times New Roman"/>
          <w:color w:val="000000" w:themeColor="text1"/>
          <w14:textFill>
            <w14:solidFill>
              <w14:schemeClr w14:val="tx1"/>
            </w14:solidFill>
          </w14:textFill>
        </w:rPr>
        <w:t>，逐步形成上下游一体化、资源配置合理、产品协同有序的优势产业体系</w:t>
      </w:r>
      <w:r>
        <w:rPr>
          <w:rFonts w:ascii="Times New Roman" w:hAnsi="Times New Roman" w:eastAsia="仿宋_GB2312" w:cs="Times New Roman"/>
          <w:color w:val="000000" w:themeColor="text1"/>
          <w14:textFill>
            <w14:solidFill>
              <w14:schemeClr w14:val="tx1"/>
            </w14:solidFill>
          </w14:textFill>
        </w:rPr>
        <w:t>，加快化工基地向绿色化、循环化、高端化、智能化方向发展，打造</w:t>
      </w:r>
      <w:r>
        <w:rPr>
          <w:rFonts w:hint="eastAsia" w:ascii="Times New Roman" w:hAnsi="Times New Roman" w:eastAsia="仿宋_GB2312" w:cs="Times New Roman"/>
          <w:color w:val="000000" w:themeColor="text1"/>
          <w14:textFill>
            <w14:solidFill>
              <w14:schemeClr w14:val="tx1"/>
            </w14:solidFill>
          </w14:textFill>
        </w:rPr>
        <w:t>千亿级绿色化工发展示范区</w:t>
      </w:r>
      <w:r>
        <w:rPr>
          <w:rFonts w:ascii="Times New Roman" w:hAnsi="Times New Roman" w:eastAsia="仿宋_GB2312" w:cs="Times New Roman"/>
          <w:color w:val="000000" w:themeColor="text1"/>
          <w14:textFill>
            <w14:solidFill>
              <w14:schemeClr w14:val="tx1"/>
            </w14:solidFill>
          </w14:textFill>
        </w:rPr>
        <w:t>。</w:t>
      </w:r>
    </w:p>
    <w:p>
      <w:pPr>
        <w:pStyle w:val="2"/>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（三）发展目标</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到2025年，产业规模达到1000亿，平均增长速度达15%，亩均年税收达到20万元，营收百亿以上企业</w:t>
      </w:r>
      <w:r>
        <w:rPr>
          <w:rFonts w:hint="eastAsia" w:ascii="Times New Roman" w:hAnsi="Times New Roman" w:cs="Times New Roman"/>
          <w:color w:val="000000" w:themeColor="text1"/>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家，50亿以上企业</w:t>
      </w:r>
      <w:r>
        <w:rPr>
          <w:rFonts w:hint="eastAsia" w:ascii="Times New Roman" w:hAnsi="Times New Roman" w:cs="Times New Roman"/>
          <w:color w:val="000000" w:themeColor="text1"/>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家，30亿以上企业10家。基本建成特色产业集群基本成熟，上下游一体、资源合理配置、产品协同有序的产业链生态体系，形成竞争优势突出的化工新材料企业梯队，化工基地跻身全国化工园区三十强。</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（四）空间布局</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四五”期间，依托产业集聚区建设，优化产业空间布局，形成以新型化工基地为核心主产、濮阳经济技术产业集聚区为科技转型示范、台前县产业集聚区等为化工配套补充的化工产业集群新格局，打造一批附加值高的精细化工产业园和化工终端产品产业园。</w:t>
      </w:r>
    </w:p>
    <w:p>
      <w:pPr>
        <w:ind w:firstLine="643" w:firstLineChars="200"/>
        <w:rPr>
          <w:rFonts w:ascii="Times New Roman" w:hAnsi="Times New Roman" w:cs="Times New Roman"/>
          <w:color w:val="000000" w:themeColor="text1"/>
          <w:highlight w:val="yellow"/>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经开区：</w:t>
      </w:r>
      <w:r>
        <w:rPr>
          <w:rFonts w:ascii="Times New Roman" w:hAnsi="Times New Roman" w:cs="Times New Roman"/>
          <w:color w:val="000000" w:themeColor="text1"/>
          <w14:textFill>
            <w14:solidFill>
              <w14:schemeClr w14:val="tx1"/>
            </w14:solidFill>
          </w14:textFill>
        </w:rPr>
        <w:t>依托中原石化、沃森超高等企业，招引三元乙丙橡胶、超高分子量聚乙烯纤维等产业项目，打造高端聚烯烃料产业园；依托濮阳惠成、迈奇化学等企业，招引OLED有机发光层材料、高纯度电解液等产业项目，打造电子化学品产业园</w:t>
      </w:r>
      <w:r>
        <w:rPr>
          <w:rFonts w:hint="eastAsia" w:ascii="Times New Roman" w:hAnsi="Times New Roman" w:cs="Times New Roman"/>
          <w:color w:val="000000" w:themeColor="text1"/>
          <w14:textFill>
            <w14:solidFill>
              <w14:schemeClr w14:val="tx1"/>
            </w14:solidFill>
          </w14:textFill>
        </w:rPr>
        <w:t>。</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工业园区：</w:t>
      </w:r>
      <w:r>
        <w:rPr>
          <w:rFonts w:ascii="Times New Roman" w:hAnsi="Times New Roman" w:cs="Times New Roman"/>
          <w:color w:val="000000" w:themeColor="text1"/>
          <w14:textFill>
            <w14:solidFill>
              <w14:schemeClr w14:val="tx1"/>
            </w14:solidFill>
          </w14:textFill>
        </w:rPr>
        <w:t>依托</w:t>
      </w:r>
      <w:r>
        <w:rPr>
          <w:rFonts w:hint="eastAsia" w:ascii="Times New Roman" w:hAnsi="Times New Roman" w:cs="Times New Roman"/>
          <w:color w:val="000000" w:themeColor="text1"/>
          <w14:textFill>
            <w14:solidFill>
              <w14:schemeClr w14:val="tx1"/>
            </w14:solidFill>
          </w14:textFill>
        </w:rPr>
        <w:t>立邦、</w:t>
      </w:r>
      <w:r>
        <w:rPr>
          <w:rFonts w:ascii="Times New Roman" w:hAnsi="Times New Roman" w:cs="Times New Roman"/>
          <w:color w:val="000000" w:themeColor="text1"/>
          <w14:textFill>
            <w14:solidFill>
              <w14:schemeClr w14:val="tx1"/>
            </w14:solidFill>
          </w14:textFill>
        </w:rPr>
        <w:t>三棵树、展辰新材料等企业，重点招引</w:t>
      </w:r>
      <w:r>
        <w:rPr>
          <w:rFonts w:hint="eastAsia" w:ascii="Times New Roman" w:hAnsi="Times New Roman" w:cs="Times New Roman"/>
          <w:color w:val="000000" w:themeColor="text1"/>
          <w14:textFill>
            <w14:solidFill>
              <w14:schemeClr w14:val="tx1"/>
            </w14:solidFill>
          </w14:textFill>
        </w:rPr>
        <w:t>嘉宝莉</w:t>
      </w:r>
      <w:r>
        <w:rPr>
          <w:rFonts w:ascii="Times New Roman" w:hAnsi="Times New Roman" w:cs="Times New Roman"/>
          <w:color w:val="000000" w:themeColor="text1"/>
          <w14:textFill>
            <w14:solidFill>
              <w14:schemeClr w14:val="tx1"/>
            </w14:solidFill>
          </w14:textFill>
        </w:rPr>
        <w:t>、阿克苏诺贝尔等企业</w:t>
      </w:r>
      <w:r>
        <w:rPr>
          <w:rFonts w:hint="eastAsia" w:ascii="Times New Roman" w:hAnsi="Times New Roman" w:cs="Times New Roman"/>
          <w:color w:val="000000" w:themeColor="text1"/>
          <w14:textFill>
            <w14:solidFill>
              <w14:schemeClr w14:val="tx1"/>
            </w14:solidFill>
          </w14:textFill>
        </w:rPr>
        <w:t>；深度融合现代家居、装备制造等关联产业，做好产销对接，提升产品本地化应用；加快建设气化岛、污水处理厂等配套项目建设，持续完善产业链，提升价值链，打造全国重要的绿色涂料产业园</w:t>
      </w:r>
      <w:r>
        <w:rPr>
          <w:rFonts w:ascii="Times New Roman" w:hAnsi="Times New Roman" w:cs="Times New Roman"/>
          <w:color w:val="000000" w:themeColor="text1"/>
          <w14:textFill>
            <w14:solidFill>
              <w14:schemeClr w14:val="tx1"/>
            </w14:solidFill>
          </w14:textFill>
        </w:rPr>
        <w:t>。</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濮阳县：</w:t>
      </w:r>
      <w:r>
        <w:rPr>
          <w:rFonts w:ascii="Times New Roman" w:hAnsi="Times New Roman" w:cs="Times New Roman"/>
          <w:color w:val="000000" w:themeColor="text1"/>
          <w14:textFill>
            <w14:solidFill>
              <w14:schemeClr w14:val="tx1"/>
            </w14:solidFill>
          </w14:textFill>
        </w:rPr>
        <w:t>依托蔚林化工、源博科技等企业，招引苯胺、塑料添加剂等产业项目，依托天源生物、君合化工等企业，重点</w:t>
      </w:r>
      <w:r>
        <w:rPr>
          <w:rFonts w:hint="eastAsia" w:ascii="Times New Roman" w:hAnsi="Times New Roman" w:cs="Times New Roman"/>
          <w:color w:val="000000" w:themeColor="text1"/>
          <w14:textFill>
            <w14:solidFill>
              <w14:schemeClr w14:val="tx1"/>
            </w14:solidFill>
          </w14:textFill>
        </w:rPr>
        <w:t>发展高端香精香料产业</w:t>
      </w:r>
      <w:r>
        <w:rPr>
          <w:rFonts w:ascii="Times New Roman" w:hAnsi="Times New Roman" w:cs="Times New Roman"/>
          <w:color w:val="000000" w:themeColor="text1"/>
          <w14:textFill>
            <w14:solidFill>
              <w14:schemeClr w14:val="tx1"/>
            </w14:solidFill>
          </w14:textFill>
        </w:rPr>
        <w:t>，打造</w:t>
      </w:r>
      <w:r>
        <w:rPr>
          <w:rFonts w:hint="eastAsia" w:ascii="Times New Roman" w:hAnsi="Times New Roman" w:cs="Times New Roman"/>
          <w:color w:val="000000" w:themeColor="text1"/>
          <w14:textFill>
            <w14:solidFill>
              <w14:schemeClr w14:val="tx1"/>
            </w14:solidFill>
          </w14:textFill>
        </w:rPr>
        <w:t>绿色</w:t>
      </w:r>
      <w:r>
        <w:rPr>
          <w:rFonts w:ascii="Times New Roman" w:hAnsi="Times New Roman" w:cs="Times New Roman"/>
          <w:color w:val="000000" w:themeColor="text1"/>
          <w14:textFill>
            <w14:solidFill>
              <w14:schemeClr w14:val="tx1"/>
            </w14:solidFill>
          </w14:textFill>
        </w:rPr>
        <w:t>助剂产业园。</w:t>
      </w:r>
    </w:p>
    <w:p>
      <w:pPr>
        <w:pStyle w:val="2"/>
        <w:ind w:firstLine="643"/>
        <w:rPr>
          <w:rFonts w:hint="eastAsia"/>
        </w:rPr>
      </w:pPr>
      <w:r>
        <w:rPr>
          <w:rFonts w:hint="eastAsia"/>
          <w:b/>
          <w:bCs/>
        </w:rPr>
        <w:t>南乐县：</w:t>
      </w:r>
      <w:r>
        <w:rPr>
          <w:rFonts w:hint="eastAsia"/>
        </w:rPr>
        <w:t>优化提升生物基降解材料聚乳酸产业，加大与中科院长春应化所等科研院所的合作力度，突破丙交酯技术瓶颈；推进宏业集团石油基降解材料PBAT、中原大化煤基降解材料PGA等项目建设，谋划二氧化碳基降解材料PPC等项目，逐步打造全产业链条的国家级生物降解材料产业园</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范县：</w:t>
      </w:r>
      <w:r>
        <w:rPr>
          <w:rFonts w:ascii="Times New Roman" w:hAnsi="Times New Roman" w:cs="Times New Roman"/>
          <w:color w:val="000000" w:themeColor="text1"/>
          <w14:textFill>
            <w14:solidFill>
              <w14:schemeClr w14:val="tx1"/>
            </w14:solidFill>
          </w14:textFill>
        </w:rPr>
        <w:t>依托盛通聚源、</w:t>
      </w:r>
      <w:r>
        <w:rPr>
          <w:rFonts w:hint="eastAsia" w:ascii="Times New Roman" w:hAnsi="Times New Roman" w:cs="Times New Roman"/>
          <w:color w:val="000000" w:themeColor="text1"/>
          <w14:textFill>
            <w14:solidFill>
              <w14:schemeClr w14:val="tx1"/>
            </w14:solidFill>
          </w14:textFill>
        </w:rPr>
        <w:t>中汇新能源、</w:t>
      </w:r>
      <w:r>
        <w:rPr>
          <w:rFonts w:ascii="Times New Roman" w:hAnsi="Times New Roman" w:cs="Times New Roman"/>
          <w:color w:val="000000" w:themeColor="text1"/>
          <w14:textFill>
            <w14:solidFill>
              <w14:schemeClr w14:val="tx1"/>
            </w14:solidFill>
          </w14:textFill>
        </w:rPr>
        <w:t>远东科技等企业，</w:t>
      </w:r>
      <w:r>
        <w:rPr>
          <w:rFonts w:hint="eastAsia" w:ascii="Times New Roman" w:hAnsi="Times New Roman" w:cs="Times New Roman"/>
          <w:color w:val="000000" w:themeColor="text1"/>
          <w14:textFill>
            <w14:solidFill>
              <w14:schemeClr w14:val="tx1"/>
            </w14:solidFill>
          </w14:textFill>
        </w:rPr>
        <w:t>围绕上游丙烯、下游聚碳酸酯，谋划实施一批关键节点及配套项目，双向并进打通产业链，逐步形成绿色循环产业链条</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逐步将聚碳新材料科技园打造为全国重要的聚碳等聚合物研发生产基地</w:t>
      </w:r>
      <w:r>
        <w:rPr>
          <w:rFonts w:ascii="Times New Roman" w:hAnsi="Times New Roman" w:cs="Times New Roman"/>
          <w:color w:val="000000" w:themeColor="text1"/>
          <w14:textFill>
            <w14:solidFill>
              <w14:schemeClr w14:val="tx1"/>
            </w14:solidFill>
          </w14:textFill>
        </w:rPr>
        <w:t>。</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台前县：</w:t>
      </w:r>
      <w:r>
        <w:rPr>
          <w:rFonts w:ascii="Times New Roman" w:hAnsi="Times New Roman" w:cs="Times New Roman"/>
          <w:color w:val="000000" w:themeColor="text1"/>
          <w14:textFill>
            <w14:solidFill>
              <w14:schemeClr w14:val="tx1"/>
            </w14:solidFill>
          </w14:textFill>
        </w:rPr>
        <w:t>利用专用铁路的交通优势，依托日照港台前县石化能源物流园，大力发展石化仓储物流，为新型化工基地发展提供仓储物流支撑。</w:t>
      </w:r>
    </w:p>
    <w:p>
      <w:pPr>
        <w:ind w:firstLine="640" w:firstLineChars="200"/>
        <w:rPr>
          <w:rFonts w:ascii="Times New Roman" w:hAnsi="Times New Roman" w:cs="Times New Roman"/>
          <w:b/>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（五）重点任务</w:t>
      </w:r>
    </w:p>
    <w:p>
      <w:pPr>
        <w:ind w:firstLine="640"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“十四五”时期，重点推进新型化工基地建设，加强资源综合利用，</w:t>
      </w:r>
      <w:r>
        <w:rPr>
          <w:rFonts w:hint="eastAsia" w:ascii="Times New Roman" w:hAnsi="Times New Roman" w:cs="Times New Roman"/>
          <w:bCs/>
          <w:color w:val="000000" w:themeColor="text1"/>
          <w14:textFill>
            <w14:solidFill>
              <w14:schemeClr w14:val="tx1"/>
            </w14:solidFill>
          </w14:textFill>
        </w:rPr>
        <w:t>按照“一基五链六园区”的发展思路，即以石化产品为基，重点发展乙烯、丙烯、碳四、碳五、苯五大产业链条，重点打造聚碳新材料、绿色涂料、高端聚烯烃、电子化学品、生物降解材料、绿色功能助剂等六个特色园区，通过激活存量、扩大增量、应对变量，打造超千亿产业集群</w:t>
      </w:r>
      <w:r>
        <w:rPr>
          <w:rFonts w:ascii="Times New Roman" w:hAnsi="Times New Roman" w:cs="Times New Roman"/>
          <w:bCs/>
          <w:color w:val="000000" w:themeColor="text1"/>
          <w14:textFill>
            <w14:solidFill>
              <w14:schemeClr w14:val="tx1"/>
            </w14:solidFill>
          </w14:textFill>
        </w:rPr>
        <w:t>。</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1.推进新型化工基地建设。</w:t>
      </w:r>
      <w:r>
        <w:rPr>
          <w:rFonts w:ascii="Times New Roman" w:hAnsi="Times New Roman" w:cs="Times New Roman"/>
          <w:bCs/>
          <w:color w:val="000000" w:themeColor="text1"/>
          <w14:textFill>
            <w14:solidFill>
              <w14:schemeClr w14:val="tx1"/>
            </w14:solidFill>
          </w14:textFill>
        </w:rPr>
        <w:t>建成纬三路、紫东大道等主干道，形成“三横六纵”路网格局，贯通东西片区，为一体化建设管理奠定基础。建成气化岛、公共管廊、专用污水处理厂等一批重大基础设施和公用工程，提高工业污水处理能力，实现集中供气、供热、供水，促进企业间能量和物料循环利用。加快危化物流园和铁路物流中心项目建设，发挥日照港台前县石化能源物流园的作用，为产业发展提供原料支撑。建成清华大学清濮智能化工产业研究院、中科院过程所绿色技术研发转化基地和工业园区创新产业技术孵化器等，解决“卡脖子”技术难题。</w:t>
      </w:r>
      <w:r>
        <w:rPr>
          <w:rFonts w:hint="eastAsia" w:ascii="Times New Roman" w:hAnsi="Times New Roman" w:cs="Times New Roman"/>
          <w:bCs/>
          <w:color w:val="000000" w:themeColor="text1"/>
          <w14:textFill>
            <w14:solidFill>
              <w14:schemeClr w14:val="tx1"/>
            </w14:solidFill>
          </w14:textFill>
        </w:rPr>
        <w:t>依托</w:t>
      </w:r>
      <w:r>
        <w:rPr>
          <w:rFonts w:ascii="Times New Roman" w:hAnsi="Times New Roman" w:cs="Times New Roman"/>
          <w:bCs/>
          <w:color w:val="000000" w:themeColor="text1"/>
          <w14:textFill>
            <w14:solidFill>
              <w14:schemeClr w14:val="tx1"/>
            </w14:solidFill>
          </w14:textFill>
        </w:rPr>
        <w:t>新型化工基地审批服务分中心，打造行政服务效能新标杆；加快智慧园区建设，创建智慧化工园区。</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2.加强资源综合利用。</w:t>
      </w:r>
      <w:r>
        <w:rPr>
          <w:rFonts w:ascii="Times New Roman" w:hAnsi="Times New Roman" w:cs="Times New Roman"/>
          <w:bCs/>
          <w:color w:val="000000" w:themeColor="text1"/>
          <w14:textFill>
            <w14:solidFill>
              <w14:schemeClr w14:val="tx1"/>
            </w14:solidFill>
          </w14:textFill>
        </w:rPr>
        <w:t>鼓励丰利石化优化原有炼油装置及流程，鼓励中原石化MTO装置进行技术升级与扩能改造，支持</w:t>
      </w:r>
      <w:r>
        <w:rPr>
          <w:rFonts w:hint="eastAsia" w:ascii="Times New Roman" w:hAnsi="Times New Roman" w:cs="Times New Roman"/>
          <w:bCs/>
          <w:color w:val="000000" w:themeColor="text1"/>
          <w14:textFill>
            <w14:solidFill>
              <w14:schemeClr w14:val="tx1"/>
            </w14:solidFill>
          </w14:textFill>
        </w:rPr>
        <w:t>中原石化</w:t>
      </w:r>
      <w:r>
        <w:rPr>
          <w:rFonts w:ascii="Times New Roman" w:hAnsi="Times New Roman" w:cs="Times New Roman"/>
          <w:bCs/>
          <w:color w:val="000000" w:themeColor="text1"/>
          <w14:textFill>
            <w14:solidFill>
              <w14:schemeClr w14:val="tx1"/>
            </w14:solidFill>
          </w14:textFill>
        </w:rPr>
        <w:t>建设</w:t>
      </w:r>
      <w:r>
        <w:rPr>
          <w:rFonts w:hint="eastAsia" w:ascii="Times New Roman" w:hAnsi="Times New Roman" w:cs="Times New Roman"/>
          <w:bCs/>
          <w:color w:val="000000" w:themeColor="text1"/>
          <w14:textFill>
            <w14:solidFill>
              <w14:schemeClr w14:val="tx1"/>
            </w14:solidFill>
          </w14:textFill>
        </w:rPr>
        <w:t>原油直接制</w:t>
      </w:r>
      <w:r>
        <w:rPr>
          <w:rFonts w:ascii="Times New Roman" w:hAnsi="Times New Roman" w:cs="Times New Roman"/>
          <w:bCs/>
          <w:color w:val="000000" w:themeColor="text1"/>
          <w14:textFill>
            <w14:solidFill>
              <w14:schemeClr w14:val="tx1"/>
            </w14:solidFill>
          </w14:textFill>
        </w:rPr>
        <w:t>项目，以竞争力和效益最大化为原则，提高装置规模和乙烯、丙烯、C4/C5、芳烃等高附加值产品的总产能。引导中原大化适度发展现代煤化工，推动气化岛项目建设，为化工产业原料多元化提供配套补充。充分发挥国家天然气战略储备库“文23”、“文96”资源优势，打造全国清洁高效能源示范园区。做好“碳中和”的应对准备，优化产业结构、能源结构，提升企业绿色节能水平，积极探索二氧化碳回收利用技术</w:t>
      </w:r>
      <w:r>
        <w:rPr>
          <w:rFonts w:hint="eastAsia" w:ascii="Times New Roman" w:hAnsi="Times New Roman" w:cs="Times New Roman"/>
          <w:bCs/>
          <w:color w:val="000000" w:themeColor="text1"/>
          <w14:textFill>
            <w14:solidFill>
              <w14:schemeClr w14:val="tx1"/>
            </w14:solidFill>
          </w14:textFill>
        </w:rPr>
        <w:t>，谋划实施中原油田百万吨级二氧化碳驱油封存、中原大化3</w:t>
      </w:r>
      <w:r>
        <w:rPr>
          <w:rFonts w:ascii="Times New Roman" w:hAnsi="Times New Roman" w:cs="Times New Roman"/>
          <w:bCs/>
          <w:color w:val="000000" w:themeColor="text1"/>
          <w14:textFill>
            <w14:solidFill>
              <w14:schemeClr w14:val="tx1"/>
            </w14:solidFill>
          </w14:textFill>
        </w:rPr>
        <w:t>0</w:t>
      </w:r>
      <w:r>
        <w:rPr>
          <w:rFonts w:hint="eastAsia" w:ascii="Times New Roman" w:hAnsi="Times New Roman" w:cs="Times New Roman"/>
          <w:bCs/>
          <w:color w:val="000000" w:themeColor="text1"/>
          <w14:textFill>
            <w14:solidFill>
              <w14:schemeClr w14:val="tx1"/>
            </w14:solidFill>
          </w14:textFill>
        </w:rPr>
        <w:t>万吨/年液体二氧化碳回收等项目</w:t>
      </w:r>
      <w:r>
        <w:rPr>
          <w:rFonts w:ascii="Times New Roman" w:hAnsi="Times New Roman" w:cs="Times New Roman"/>
          <w:bCs/>
          <w:color w:val="000000" w:themeColor="text1"/>
          <w14:textFill>
            <w14:solidFill>
              <w14:schemeClr w14:val="tx1"/>
            </w14:solidFill>
          </w14:textFill>
        </w:rPr>
        <w:t>。</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3.加快</w:t>
      </w:r>
      <w:r>
        <w:rPr>
          <w:rFonts w:hint="eastAsia" w:ascii="Times New Roman" w:hAnsi="Times New Roman" w:cs="Times New Roman"/>
          <w:b/>
          <w:color w:val="000000" w:themeColor="text1"/>
          <w14:textFill>
            <w14:solidFill>
              <w14:schemeClr w14:val="tx1"/>
            </w14:solidFill>
          </w14:textFill>
        </w:rPr>
        <w:t>六大特色园区建设</w:t>
      </w:r>
      <w:r>
        <w:rPr>
          <w:rFonts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bCs/>
          <w:color w:val="000000" w:themeColor="text1"/>
          <w14:textFill>
            <w14:solidFill>
              <w14:schemeClr w14:val="tx1"/>
            </w14:solidFill>
          </w14:textFill>
        </w:rPr>
        <w:t>以打造特色产业园为抓手，持续拓展延伸产业链，重点培育打造聚碳新材料、绿色涂料、高端聚烯烃、电子化学品、生物降解材料、绿色功能助剂等六个特色园区。</w:t>
      </w:r>
      <w:r>
        <w:rPr>
          <w:rFonts w:hint="eastAsia" w:ascii="Times New Roman" w:hAnsi="Times New Roman" w:cs="Times New Roman"/>
          <w:b/>
          <w:color w:val="000000" w:themeColor="text1"/>
          <w14:textFill>
            <w14:solidFill>
              <w14:schemeClr w14:val="tx1"/>
            </w14:solidFill>
          </w14:textFill>
        </w:rPr>
        <w:t>聚碳新材料科技园：</w:t>
      </w:r>
      <w:r>
        <w:rPr>
          <w:rFonts w:hint="eastAsia" w:ascii="Times New Roman" w:hAnsi="Times New Roman" w:cs="Times New Roman"/>
          <w:bCs/>
          <w:color w:val="000000" w:themeColor="text1"/>
          <w14:textFill>
            <w14:solidFill>
              <w14:schemeClr w14:val="tx1"/>
            </w14:solidFill>
          </w14:textFill>
        </w:rPr>
        <w:t>依托上游丙烯、下游聚碳酸酯，谋划实施一批关键节点及配套项目，双向并进打通产业链，逐步形成绿色循环产业链条；加大高新技术企业培育力度，加快创新平台建设，引导企业向绿色化、智能化、高端化方向发展；引导重点企业参与，成立混合所有制投资平台，破解产业项目、基础设施和公用工程项目建设资金难题，逐步打造全国重要的聚碳等聚合物研发生产基地。</w:t>
      </w:r>
      <w:r>
        <w:rPr>
          <w:rFonts w:hint="eastAsia" w:ascii="Times New Roman" w:hAnsi="Times New Roman" w:cs="Times New Roman"/>
          <w:b/>
          <w:color w:val="000000" w:themeColor="text1"/>
          <w14:textFill>
            <w14:solidFill>
              <w14:schemeClr w14:val="tx1"/>
            </w14:solidFill>
          </w14:textFill>
        </w:rPr>
        <w:t>绿色涂料产业园：</w:t>
      </w:r>
      <w:r>
        <w:rPr>
          <w:rFonts w:hint="eastAsia" w:ascii="Times New Roman" w:hAnsi="Times New Roman" w:cs="Times New Roman"/>
          <w:bCs/>
          <w:color w:val="000000" w:themeColor="text1"/>
          <w14:textFill>
            <w14:solidFill>
              <w14:schemeClr w14:val="tx1"/>
            </w14:solidFill>
          </w14:textFill>
        </w:rPr>
        <w:t>落实绿色涂料产业加快发展政策，根据生产工艺对项目实行差别化手续办理，最大限度简化审批流程；深度融合现代家居、装备制造等关联产业，做好产销对接，提升产品本地化应用；加快建设三棵树新型建材、立邦高端涂料等产业项目，气化岛、污水处理厂等配套项目建设，持续完善产业链，提升价值链，打造全国重要的绿色涂料产业园。</w:t>
      </w:r>
      <w:r>
        <w:rPr>
          <w:rFonts w:hint="eastAsia" w:ascii="Times New Roman" w:hAnsi="Times New Roman" w:cs="Times New Roman"/>
          <w:b/>
          <w:color w:val="000000" w:themeColor="text1"/>
          <w14:textFill>
            <w14:solidFill>
              <w14:schemeClr w14:val="tx1"/>
            </w14:solidFill>
          </w14:textFill>
        </w:rPr>
        <w:t>高端聚烯烃产业园：</w:t>
      </w:r>
      <w:r>
        <w:rPr>
          <w:rFonts w:hint="eastAsia" w:ascii="Times New Roman" w:hAnsi="Times New Roman" w:cs="Times New Roman"/>
          <w:bCs/>
          <w:color w:val="000000" w:themeColor="text1"/>
          <w14:textFill>
            <w14:solidFill>
              <w14:schemeClr w14:val="tx1"/>
            </w14:solidFill>
          </w14:textFill>
        </w:rPr>
        <w:t>依托中原石化、沃森超高、远东科技等企业，利用乙烯、丙烯资源，拓展超高分子量聚乙烯下游应用，重点发展茂金属聚乙烯/聚丙烯、聚烯烃弹性体等产品，打造高端聚烯烃产业园。</w:t>
      </w:r>
      <w:r>
        <w:rPr>
          <w:rFonts w:hint="eastAsia" w:ascii="Times New Roman" w:hAnsi="Times New Roman" w:cs="Times New Roman"/>
          <w:b/>
          <w:color w:val="000000" w:themeColor="text1"/>
          <w14:textFill>
            <w14:solidFill>
              <w14:schemeClr w14:val="tx1"/>
            </w14:solidFill>
          </w14:textFill>
        </w:rPr>
        <w:t>电子化学品产业园：</w:t>
      </w:r>
      <w:r>
        <w:rPr>
          <w:rFonts w:hint="eastAsia" w:ascii="Times New Roman" w:hAnsi="Times New Roman" w:cs="Times New Roman"/>
          <w:bCs/>
          <w:color w:val="000000" w:themeColor="text1"/>
          <w14:textFill>
            <w14:solidFill>
              <w14:schemeClr w14:val="tx1"/>
            </w14:solidFill>
          </w14:textFill>
        </w:rPr>
        <w:t>做优做强濮阳惠成、迈奇化学等现有企业，招引中节能万润等头部企业，重点发展柔性显示发光材料、高纯锂电助剂及溶剂等产品。</w:t>
      </w:r>
      <w:r>
        <w:rPr>
          <w:rFonts w:hint="eastAsia" w:ascii="Times New Roman" w:hAnsi="Times New Roman" w:cs="Times New Roman"/>
          <w:b/>
          <w:color w:val="000000" w:themeColor="text1"/>
          <w14:textFill>
            <w14:solidFill>
              <w14:schemeClr w14:val="tx1"/>
            </w14:solidFill>
          </w14:textFill>
        </w:rPr>
        <w:t>生物降解材料产业园：</w:t>
      </w:r>
      <w:r>
        <w:rPr>
          <w:rFonts w:hint="eastAsia" w:ascii="Times New Roman" w:hAnsi="Times New Roman" w:cs="Times New Roman"/>
          <w:bCs/>
          <w:color w:val="000000" w:themeColor="text1"/>
          <w14:textFill>
            <w14:solidFill>
              <w14:schemeClr w14:val="tx1"/>
            </w14:solidFill>
          </w14:textFill>
        </w:rPr>
        <w:t>优化提升生物基降解材料聚乳酸产业，加大与中科院长春应化所等科研院所的合作力度，突破丙交酯技术瓶颈；推进宏业集团石油基降解材料PBAT、中原大化煤基降解材料PGA等项目建设，谋划二氧化碳基降解材料PPC等项目，逐步打造全产业链条的国家级生物降解材料产业园。</w:t>
      </w:r>
      <w:r>
        <w:rPr>
          <w:rFonts w:hint="eastAsia" w:ascii="Times New Roman" w:hAnsi="Times New Roman" w:cs="Times New Roman"/>
          <w:b/>
          <w:color w:val="000000" w:themeColor="text1"/>
          <w14:textFill>
            <w14:solidFill>
              <w14:schemeClr w14:val="tx1"/>
            </w14:solidFill>
          </w14:textFill>
        </w:rPr>
        <w:t>绿色功能助剂产业园：</w:t>
      </w:r>
      <w:r>
        <w:rPr>
          <w:rFonts w:hint="eastAsia" w:ascii="Times New Roman" w:hAnsi="Times New Roman" w:cs="Times New Roman"/>
          <w:bCs/>
          <w:color w:val="000000" w:themeColor="text1"/>
          <w14:textFill>
            <w14:solidFill>
              <w14:schemeClr w14:val="tx1"/>
            </w14:solidFill>
          </w14:textFill>
        </w:rPr>
        <w:t>以濮阳市化工产业集聚区为主要载体，重点发展橡胶助剂、塑料助剂、食品助剂、采油和炼化助剂等高附加值绿色功能助剂</w:t>
      </w:r>
      <w:r>
        <w:rPr>
          <w:rFonts w:ascii="Times New Roman" w:hAnsi="Times New Roman" w:cs="Times New Roman"/>
          <w:bCs/>
          <w:color w:val="000000" w:themeColor="text1"/>
          <w14:textFill>
            <w14:solidFill>
              <w14:schemeClr w14:val="tx1"/>
            </w14:solidFill>
          </w14:textFill>
        </w:rPr>
        <w:t>。</w:t>
      </w:r>
    </w:p>
    <w:tbl>
      <w:tblPr>
        <w:tblStyle w:val="14"/>
        <w:tblW w:w="831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1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专栏2  化工新材料集群重点规划建设项目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1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（1）高端聚烯烃</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利用我市及周边丰富的乙烯、丙烯及C4资源，重点发展茂金属聚乙烯及聚丙烯、高碳α-烯烃共聚聚乙烯、超高分子量聚乙烯、聚烯烃弹性体等产品，并围绕产品扩展下游应用，规划吹塑包装产业园、超高分子产业园、发泡材料产业园等。</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（2）工程塑料</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利用我市纯苯、苯乙烯，碳酸二甲酯、甲基丙烯酸甲酯、均苯四甲酸酐等资源，重点发展HIPS、EPS、聚碳酸酯、聚甲基丙烯酸甲酯、聚酰亚胺等工程塑料，打造工程塑料产业园，为河南省及周边省市高端医疗器械、汽车装备制造、光学材料、5G装备、航空航天材料等提供原料保障。</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（3）高性能纤维</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利用我市芳烃及超高分子量聚乙烯产能，重点发展超高分子量聚乙烯、对位芳纶纤维等产品，规划高端防护产业园。</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（4）高性能合成橡胶</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利用我市丰富的C4/C5资源，重点发展乙丙橡胶、羧基丁晴橡胶、异戊橡胶等产品，打造医用高端橡胶产业园。</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（5）聚氨酯</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引进万华化学等行业龙头，推进大型异氰酸酯项目的建设落地，依托我市丰富的聚醚多元醇资源，进一步向下游生产合成革浆料、聚氨酯泡沫塑料（包括软泡和硬泡）、聚氨酯涂料、鞋底原液、热塑性弹性体、氨纶和密封剂/胶黏剂等聚氨酯制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1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专栏3  功能化学品集群重点规划建设项目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1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（1）涂料</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依托濮阳市石油装备制造产业优势及我市丰富的丙烯酸资源，重点发展众多的工业装备、石化和煤化工装置用高性能、功能性专用涂料；紧抓国家大力发展氢燃料燃料电池汽车机遇，积极发展环保汽车涂料；顺应涂料行业环保化的发展趋势，提高与清丰家具制造等产业配套能力。加大先进技术引进力度，大力发展高性能的水性涂料、无溶剂UV光固化涂料等环保涂料。培育形成特色功能涂料产业，推动化工产业与装备制造、氢燃料电池汽车、家具制造等产业耦合发展。</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（2）电子化学品</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利用我市丰富的基础化工原料资源优势，内引外联，重点布局OLED液晶制造、电子级环氧封装材料、锂电电解液及助剂等电子化学品产业。</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（3）高分子膜材料</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利用我市丰富的聚乙烯、聚丙烯、超高分子量聚乙烯、聚酰亚胺等产能，重点发展多孔聚烯烃锂电隔膜、高端超高分子量聚乙隔膜、聚酰亚胺膜等高分子功能膜材料，耦合我市锂电产业发展。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1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专栏4  专用化学品重点规划建设项目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1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（1）橡塑助剂</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依托蔚林化工在橡胶助剂行业的产业基础和市场影响力，打造促进剂与防老剂双轮驱动的蔚林化工橡胶助剂循环经济产业园，推进橡胶助剂产业绿色、环保型发展及研发性建设。引进利安隆、宿迁联盛等企业，大力发展塑料助剂，推进塑料粒料改性，向终端塑料制品延伸。</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（2）香精香料</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利用我市有丰富的石油化工原料及精细化工企业、技术及人才，通过技术转让、共同合作等模式，承接香精香料、食品添加剂、日化产品等健康美丽高端产业项目，与鹤壁赞宇科技中原日化生态产业园达成战略合作，为其提供原料。</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（3）石油树脂</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发挥瑞森、班德路等企业带动示范作用，以市场需求为导向，依托上游C5/C9资源以及开发出来的有机中间体，重点发展改性C5石油树脂、加氢DCPD树脂等产品。</w:t>
            </w:r>
          </w:p>
        </w:tc>
      </w:tr>
    </w:tbl>
    <w:p>
      <w:pPr>
        <w:pStyle w:val="5"/>
        <w:spacing w:line="240" w:lineRule="auto"/>
        <w:ind w:firstLine="640"/>
        <w:rPr>
          <w:rFonts w:ascii="Times New Roman" w:hAnsi="Times New Roman" w:cs="Times New Roman"/>
          <w:bCs/>
          <w:color w:val="000000" w:themeColor="text1"/>
          <w14:textFill>
            <w14:solidFill>
              <w14:schemeClr w14:val="tx1"/>
            </w14:solidFill>
          </w14:textFill>
        </w:rPr>
      </w:pPr>
      <w:bookmarkStart w:id="47" w:name="_Toc8071"/>
      <w:r>
        <w:rPr>
          <w:rFonts w:ascii="Times New Roman" w:hAnsi="Times New Roman" w:cs="Times New Roman"/>
          <w:bCs/>
          <w:color w:val="000000" w:themeColor="text1"/>
          <w14:textFill>
            <w14:solidFill>
              <w14:schemeClr w14:val="tx1"/>
            </w14:solidFill>
          </w14:textFill>
        </w:rPr>
        <w:t>二、装备制造产业</w:t>
      </w:r>
      <w:bookmarkEnd w:id="45"/>
      <w:bookmarkEnd w:id="46"/>
      <w:bookmarkEnd w:id="47"/>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（一）发展基础</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“十三五”时期，石油机械、电力装备、特种车辆和汽车零部件等产业得到快速发展，呈现出良好的发展态势。</w:t>
      </w:r>
      <w:r>
        <w:rPr>
          <w:rFonts w:ascii="Times New Roman" w:hAnsi="Times New Roman" w:cs="Times New Roman"/>
          <w:bCs/>
          <w:color w:val="000000" w:themeColor="text1"/>
          <w14:textFill>
            <w14:solidFill>
              <w14:schemeClr w14:val="tx1"/>
            </w14:solidFill>
          </w14:textFill>
        </w:rPr>
        <w:t>产业集聚效应逐渐凸显，</w:t>
      </w:r>
      <w:r>
        <w:rPr>
          <w:rFonts w:ascii="Times New Roman" w:hAnsi="Times New Roman" w:cs="Times New Roman"/>
          <w:color w:val="000000" w:themeColor="text1"/>
          <w14:textFill>
            <w14:solidFill>
              <w14:schemeClr w14:val="tx1"/>
            </w14:solidFill>
          </w14:textFill>
        </w:rPr>
        <w:t>华龙区成为区域性石油机械装备制造基地，台前县汽车零部件制造成为豫北特色产业，中原特车、东方龙机械等4家企业被确定为河南省智能装备培育企业。企业</w:t>
      </w:r>
      <w:r>
        <w:rPr>
          <w:rFonts w:ascii="Times New Roman" w:hAnsi="Times New Roman" w:cs="Times New Roman"/>
          <w:bCs/>
          <w:color w:val="000000" w:themeColor="text1"/>
          <w14:textFill>
            <w14:solidFill>
              <w14:schemeClr w14:val="tx1"/>
            </w14:solidFill>
          </w14:textFill>
        </w:rPr>
        <w:t>创新能力持续增强，</w:t>
      </w:r>
      <w:r>
        <w:rPr>
          <w:rFonts w:ascii="Times New Roman" w:hAnsi="Times New Roman" w:cs="Times New Roman"/>
          <w:color w:val="000000" w:themeColor="text1"/>
          <w14:textFill>
            <w14:solidFill>
              <w14:schemeClr w14:val="tx1"/>
            </w14:solidFill>
          </w14:textFill>
        </w:rPr>
        <w:t>双发井下无杆往复式潜游泵、中原特车纯电动多功能抑尘车、纯电动修井机被认定为省首台（套）重大技术装备。部分领域处于领先地位，中拓管道的非开挖技术为主导的管道工程技术是国内首创，锐驰高科的油田地面管道腐蚀监测技术国内领先。</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（二）发展思路</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坚持创新驱动、智能转型、绿色发展，以提升装备制造业整体发展质量为主线，以高端化、服务化、集群化和绿色化为主攻方向，以实施高端装备制造产业集群工程为抓手，充分发挥现有产业优势，加快信息技术与制造业深度融合，努力突破关键核心技术、提高产品质量、优化产业结构、增强产业核心竞争力，培育一批能够参与国内外竞争的大型装备制造企业，形成特色优势突出、产业集聚度高的现代装备制造产业体系，实现装备制造业结构转型、动能转换、方式转变，为推进濮阳市工业转型升级提供强力支撑。</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（三）发展目标</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2025年形成500亿级产业集群。引进和培育主营业务收入超50亿元企业2—3家，培育超10亿元企业10家左右，超亿元企业20家左右，形成石油化工装备、</w:t>
      </w:r>
      <w:r>
        <w:rPr>
          <w:rFonts w:hint="eastAsia" w:ascii="Times New Roman" w:hAnsi="Times New Roman" w:cs="Times New Roman"/>
          <w:color w:val="000000" w:themeColor="text1"/>
          <w:highlight w:val="none"/>
          <w:lang w:eastAsia="zh-CN"/>
          <w14:textFill>
            <w14:solidFill>
              <w14:schemeClr w14:val="tx1"/>
            </w14:solidFill>
          </w14:textFill>
        </w:rPr>
        <w:t>新能源装备</w:t>
      </w:r>
      <w:r>
        <w:rPr>
          <w:rFonts w:ascii="Times New Roman" w:hAnsi="Times New Roman" w:cs="Times New Roman"/>
          <w:color w:val="000000" w:themeColor="text1"/>
          <w14:textFill>
            <w14:solidFill>
              <w14:schemeClr w14:val="tx1"/>
            </w14:solidFill>
          </w14:textFill>
        </w:rPr>
        <w:t>、汽车零部件3个百亿级特色产业集群。</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（四）空间布局</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充分发挥濮东产业集聚区、中原油田的技术、人才、市场、资金</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区位等优势，积极引导油田改制企业入驻园区，并围绕现有企业大力开展招商引资，不断拉长产业链条，加快布局高端油气装备制造产业。推进区域错位发展</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加强现代装备产业导入，提升装备制造产业科技水平，促进产业转型升级</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highlight w:val="none"/>
          <w14:textFill>
            <w14:solidFill>
              <w14:schemeClr w14:val="tx1"/>
            </w14:solidFill>
          </w14:textFill>
        </w:rPr>
        <w:t>结合濮阳县产业集聚区新能源装备、清丰县产业集聚区节能环保装备、南乐县产业集聚区农机装备、台前县集聚区汽车零部件的产业基础，共同构建差异化、横向化装备制造产业集群</w:t>
      </w:r>
      <w:r>
        <w:rPr>
          <w:rFonts w:ascii="Times New Roman" w:hAnsi="Times New Roman" w:cs="Times New Roman"/>
          <w:color w:val="000000" w:themeColor="text1"/>
          <w14:textFill>
            <w14:solidFill>
              <w14:schemeClr w14:val="tx1"/>
            </w14:solidFill>
          </w14:textFill>
        </w:rPr>
        <w:t>。</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（五）重点任务</w:t>
      </w:r>
    </w:p>
    <w:p>
      <w:pPr>
        <w:ind w:firstLine="643" w:firstLineChars="200"/>
        <w:rPr>
          <w:rFonts w:hint="eastAsia"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w:t>
      </w:r>
      <w:r>
        <w:rPr>
          <w:rFonts w:hint="eastAsia" w:ascii="Times New Roman" w:hAnsi="Times New Roman" w:cs="Times New Roman"/>
          <w:b/>
          <w:bCs/>
          <w:color w:val="000000" w:themeColor="text1"/>
          <w:lang w:val="en-US" w:eastAsia="zh-CN"/>
          <w14:textFill>
            <w14:solidFill>
              <w14:schemeClr w14:val="tx1"/>
            </w14:solidFill>
          </w14:textFill>
        </w:rPr>
        <w:t>推进</w:t>
      </w:r>
      <w:r>
        <w:rPr>
          <w:rFonts w:ascii="Times New Roman" w:hAnsi="Times New Roman" w:cs="Times New Roman"/>
          <w:b/>
          <w:bCs/>
          <w:color w:val="000000" w:themeColor="text1"/>
          <w14:textFill>
            <w14:solidFill>
              <w14:schemeClr w14:val="tx1"/>
            </w14:solidFill>
          </w14:textFill>
        </w:rPr>
        <w:t>油气装备</w:t>
      </w:r>
      <w:r>
        <w:rPr>
          <w:rFonts w:hint="eastAsia" w:ascii="Times New Roman" w:hAnsi="Times New Roman" w:cs="Times New Roman"/>
          <w:b/>
          <w:bCs/>
          <w:color w:val="000000" w:themeColor="text1"/>
          <w:lang w:val="en-US" w:eastAsia="zh-CN"/>
          <w14:textFill>
            <w14:solidFill>
              <w14:schemeClr w14:val="tx1"/>
            </w14:solidFill>
          </w14:textFill>
        </w:rPr>
        <w:t>高端化</w:t>
      </w:r>
      <w:r>
        <w:rPr>
          <w:rFonts w:ascii="Times New Roman" w:hAnsi="Times New Roman" w:cs="Times New Roman"/>
          <w:b/>
          <w:bCs/>
          <w:color w:val="000000" w:themeColor="text1"/>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坚持“高端化、特色化、集群化、链式化”发展思路，充分发挥比较优势，强化本地龙头企业培育和产业链招商，加快“互联网+”在制造业的渗透融合，培育、引进一批高端装备制造领域的龙头企业，促进产业链协同创新，逐步向数字化、智能化和网络化高端装备领域拓展，重点发展油气高端（成套）装备和油气工程服务产业</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加速石油装备转型升级，快速提高产品的数字化、智能化、自动化、安全化水平和全配套能力，提高产品的技术含量和附加值；力争在海洋油气勘探开发装备研发实现重大突破，重点寻求在深海钻机、专用工具、海洋油气勘探开发配套设备研制领域实现突破并产业化</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努力打造国内具有一定影响力的石油装备制造生产基地。</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w:t>
      </w:r>
      <w:r>
        <w:rPr>
          <w:rFonts w:hint="eastAsia" w:ascii="Times New Roman" w:hAnsi="Times New Roman" w:cs="Times New Roman"/>
          <w:b/>
          <w:bCs/>
          <w:color w:val="000000" w:themeColor="text1"/>
          <w:lang w:val="en-US" w:eastAsia="zh-CN"/>
          <w14:textFill>
            <w14:solidFill>
              <w14:schemeClr w14:val="tx1"/>
            </w14:solidFill>
          </w14:textFill>
        </w:rPr>
        <w:t>延伸</w:t>
      </w:r>
      <w:r>
        <w:rPr>
          <w:rFonts w:ascii="Times New Roman" w:hAnsi="Times New Roman" w:cs="Times New Roman"/>
          <w:b/>
          <w:bCs/>
          <w:color w:val="000000" w:themeColor="text1"/>
          <w14:textFill>
            <w14:solidFill>
              <w14:schemeClr w14:val="tx1"/>
            </w14:solidFill>
          </w14:textFill>
        </w:rPr>
        <w:t>电力装备</w:t>
      </w:r>
      <w:r>
        <w:rPr>
          <w:rFonts w:hint="eastAsia" w:ascii="Times New Roman" w:hAnsi="Times New Roman" w:cs="Times New Roman"/>
          <w:b/>
          <w:bCs/>
          <w:color w:val="000000" w:themeColor="text1"/>
          <w:lang w:val="en-US" w:eastAsia="zh-CN"/>
          <w14:textFill>
            <w14:solidFill>
              <w14:schemeClr w14:val="tx1"/>
            </w14:solidFill>
          </w14:textFill>
        </w:rPr>
        <w:t>产业链条</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坚持技术创新、市场开拓、品牌塑造并举，积极承接产业转移，扩大现有企业规模。以特高压输变电成套装备、智能输变电成套装备、智能电网用户端设备等领域为主攻方向，加快引进战略投资者。支持通用电气陆上风电设备制造、天顺公司风电设备制造等项目加快发展，进一步延伸产业链条，打造成辐射亚太的陆上风电综合制造和服务基地。支持施耐德、德力西打造中西部地区智能电气装备制造基地。</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3.</w:t>
      </w:r>
      <w:r>
        <w:rPr>
          <w:rFonts w:hint="eastAsia" w:ascii="Times New Roman" w:hAnsi="Times New Roman" w:cs="Times New Roman"/>
          <w:b/>
          <w:bCs/>
          <w:color w:val="000000" w:themeColor="text1"/>
          <w:lang w:val="en-US" w:eastAsia="zh-CN"/>
          <w14:textFill>
            <w14:solidFill>
              <w14:schemeClr w14:val="tx1"/>
            </w14:solidFill>
          </w14:textFill>
        </w:rPr>
        <w:t>加速</w:t>
      </w:r>
      <w:r>
        <w:rPr>
          <w:rFonts w:ascii="Times New Roman" w:hAnsi="Times New Roman" w:cs="Times New Roman"/>
          <w:b/>
          <w:bCs/>
          <w:color w:val="000000" w:themeColor="text1"/>
          <w14:textFill>
            <w14:solidFill>
              <w14:schemeClr w14:val="tx1"/>
            </w14:solidFill>
          </w14:textFill>
        </w:rPr>
        <w:t>农机装备</w:t>
      </w:r>
      <w:r>
        <w:rPr>
          <w:rFonts w:hint="eastAsia" w:ascii="Times New Roman" w:hAnsi="Times New Roman" w:cs="Times New Roman"/>
          <w:b/>
          <w:bCs/>
          <w:color w:val="000000" w:themeColor="text1"/>
          <w:lang w:val="en-US" w:eastAsia="zh-CN"/>
          <w14:textFill>
            <w14:solidFill>
              <w14:schemeClr w14:val="tx1"/>
            </w14:solidFill>
          </w14:textFill>
        </w:rPr>
        <w:t>转型升级</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发挥技术、资源等优势，按照农机装备特色化发展思路，依托星光机械、金园农机、鸿发机械等骨干企业，大力发展先进农机装备，提升联合收割机、播种施肥机械、耕整地机械和畜牧水产品养殖机械等关键总成制造水平，重点发展成套作业机械，打造中西部地区重要的农机装备生产基地。</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4.</w:t>
      </w:r>
      <w:r>
        <w:rPr>
          <w:rFonts w:hint="eastAsia" w:ascii="Times New Roman" w:hAnsi="Times New Roman" w:cs="Times New Roman"/>
          <w:b/>
          <w:bCs/>
          <w:color w:val="000000" w:themeColor="text1"/>
          <w:lang w:val="en-US" w:eastAsia="zh-CN"/>
          <w14:textFill>
            <w14:solidFill>
              <w14:schemeClr w14:val="tx1"/>
            </w14:solidFill>
          </w14:textFill>
        </w:rPr>
        <w:t>大力发展</w:t>
      </w:r>
      <w:r>
        <w:rPr>
          <w:rFonts w:ascii="Times New Roman" w:hAnsi="Times New Roman" w:cs="Times New Roman"/>
          <w:b/>
          <w:bCs/>
          <w:color w:val="000000" w:themeColor="text1"/>
          <w14:textFill>
            <w14:solidFill>
              <w14:schemeClr w14:val="tx1"/>
            </w14:solidFill>
          </w14:textFill>
        </w:rPr>
        <w:t>专用汽车及零部件。</w:t>
      </w:r>
      <w:r>
        <w:rPr>
          <w:rFonts w:ascii="Times New Roman" w:hAnsi="Times New Roman" w:cs="Times New Roman"/>
          <w:color w:val="000000" w:themeColor="text1"/>
          <w14:textFill>
            <w14:solidFill>
              <w14:schemeClr w14:val="tx1"/>
            </w14:solidFill>
          </w14:textFill>
        </w:rPr>
        <w:t>以专用车为切入点，依托特种车辆及零部件产业基础，坚持高端化、专业化和特色化的发展路线，支持中原特车、中原总机等骨干企业，</w:t>
      </w:r>
      <w:r>
        <w:rPr>
          <w:rFonts w:hint="eastAsia" w:ascii="Times New Roman" w:hAnsi="Times New Roman" w:cs="Times New Roman"/>
          <w:color w:val="000000" w:themeColor="text1"/>
          <w:highlight w:val="none"/>
          <w:lang w:eastAsia="zh-CN"/>
          <w14:textFill>
            <w14:solidFill>
              <w14:schemeClr w14:val="tx1"/>
            </w14:solidFill>
          </w14:textFill>
        </w:rPr>
        <w:t>积极开发专用车辆，形成新能源车装钻机、氢能源专用车、移动修井机和</w:t>
      </w:r>
      <w:r>
        <w:rPr>
          <w:rFonts w:hint="eastAsia" w:ascii="Times New Roman" w:hAnsi="Times New Roman" w:cs="Times New Roman"/>
          <w:color w:val="000000" w:themeColor="text1"/>
          <w:highlight w:val="none"/>
          <w:lang w:val="en-US" w:eastAsia="zh-CN"/>
          <w14:textFill>
            <w14:solidFill>
              <w14:schemeClr w14:val="tx1"/>
            </w14:solidFill>
          </w14:textFill>
        </w:rPr>
        <w:t>LNG特种车辆等专用车辆集群研发局面。</w:t>
      </w:r>
      <w:r>
        <w:rPr>
          <w:rFonts w:ascii="Times New Roman" w:hAnsi="Times New Roman" w:cs="Times New Roman"/>
          <w:color w:val="000000" w:themeColor="text1"/>
          <w14:textFill>
            <w14:solidFill>
              <w14:schemeClr w14:val="tx1"/>
            </w14:solidFill>
          </w14:textFill>
        </w:rPr>
        <w:t>依托华龙区装备制造集群、台前县汽车零部件配套集群，提高零部件企业模块化供货能力，培育知名品牌，形成整车改装、零部件铸造、车桥、传动轴、车轮、轮毂、刹车毂等配套产业链。</w:t>
      </w: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48" w:name="_Toc24120"/>
      <w:bookmarkStart w:id="49" w:name="_Toc62834779"/>
      <w:bookmarkStart w:id="50" w:name="_Toc12487"/>
      <w:r>
        <w:rPr>
          <w:rFonts w:ascii="Times New Roman" w:hAnsi="Times New Roman" w:cs="Times New Roman"/>
          <w:color w:val="000000" w:themeColor="text1"/>
          <w14:textFill>
            <w14:solidFill>
              <w14:schemeClr w14:val="tx1"/>
            </w14:solidFill>
          </w14:textFill>
        </w:rPr>
        <w:t>三、食品加工制造业</w:t>
      </w:r>
      <w:bookmarkEnd w:id="48"/>
      <w:bookmarkEnd w:id="49"/>
      <w:bookmarkEnd w:id="50"/>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（一）发展基础</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三五”期间，依托现有食品加工产业基础，大力开发新型安全、方便、营养、健康食品，提高农产品资源转化率，着力培育知名品牌，食品工业不断发展壮大，形成了以粮食加工、畜禽加工、食用植物油加工、果蔬深加工、乳制品及食品酿造等产业为主导的比较完整的现代食品工业体系，培育了木伦河集团、训达粮油、龙丰实业等一批带动能力强的食品工业龙头企业，木伦河集团、训达粮油、龙丰实业、雪汇食品、桃园建民获得“全国食品工业优秀食品龙头企业”称号，训达粮油被认定为“农业产业化国家级重点龙头企业”，初步形成了国内特色鲜明、竞争力较强的食品加工产业基地，“范县大米”被批准为地理标志保护产品，南乐县、清丰县荣获“全国食品工业强县”称号、濮阳县荣获“省级食品工业强县”称号。</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（二）发展思路</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四五”期间，全市食品产业以“粮头食尾”“农头工尾”为抓手，以产业集聚区和专业园区为载体，深入实施增品种、提品质、创品牌的“三品”战略，加快产业结构调整和转型升级步伐，打造特色集群、培育龙头企业、优化产业布局，促进产业集聚集约发展，</w:t>
      </w:r>
      <w:r>
        <w:rPr>
          <w:rFonts w:hint="eastAsia" w:ascii="Times New Roman" w:hAnsi="Times New Roman" w:cs="Times New Roman"/>
          <w:color w:val="000000" w:themeColor="text1"/>
          <w:lang w:val="en-US" w:eastAsia="zh-CN"/>
          <w14:textFill>
            <w14:solidFill>
              <w14:schemeClr w14:val="tx1"/>
            </w14:solidFill>
          </w14:textFill>
        </w:rPr>
        <w:t>建设500亿级绿色食品生产基地</w:t>
      </w:r>
      <w:r>
        <w:rPr>
          <w:rFonts w:ascii="Times New Roman" w:hAnsi="Times New Roman" w:cs="Times New Roman"/>
          <w:color w:val="000000" w:themeColor="text1"/>
          <w14:textFill>
            <w14:solidFill>
              <w14:schemeClr w14:val="tx1"/>
            </w14:solidFill>
          </w14:textFill>
        </w:rPr>
        <w:t>。</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（三）发展目标</w:t>
      </w:r>
    </w:p>
    <w:p>
      <w:pPr>
        <w:ind w:firstLine="640" w:firstLineChars="200"/>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到2025年，全市食品加工制造业形成500亿级产业集群，培育1个超50亿元、3个超30亿、10个超10亿元骨干企业。</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（四）空间布局</w:t>
      </w:r>
    </w:p>
    <w:p>
      <w:pPr>
        <w:ind w:firstLine="640" w:firstLineChars="200"/>
        <w:rPr>
          <w:rFonts w:hint="eastAsia" w:ascii="Times New Roman" w:hAnsi="Times New Roman" w:eastAsia="仿宋_GB2312" w:cs="Times New Roman"/>
          <w:color w:val="000000" w:themeColor="text1"/>
          <w:highlight w:val="none"/>
          <w:lang w:eastAsia="zh-CN"/>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积极引导食品加工产业重点向</w:t>
      </w:r>
      <w:r>
        <w:rPr>
          <w:rFonts w:hint="eastAsia" w:ascii="Times New Roman" w:hAnsi="Times New Roman" w:cs="Times New Roman"/>
          <w:color w:val="000000" w:themeColor="text1"/>
          <w:highlight w:val="none"/>
          <w14:textFill>
            <w14:solidFill>
              <w14:schemeClr w14:val="tx1"/>
            </w14:solidFill>
          </w14:textFill>
        </w:rPr>
        <w:t>濮阳县、</w:t>
      </w:r>
      <w:r>
        <w:rPr>
          <w:rFonts w:ascii="Times New Roman" w:hAnsi="Times New Roman" w:cs="Times New Roman"/>
          <w:color w:val="000000" w:themeColor="text1"/>
          <w:highlight w:val="none"/>
          <w14:textFill>
            <w14:solidFill>
              <w14:schemeClr w14:val="tx1"/>
            </w14:solidFill>
          </w14:textFill>
        </w:rPr>
        <w:t>清丰</w:t>
      </w:r>
      <w:r>
        <w:rPr>
          <w:rFonts w:hint="eastAsia" w:ascii="Times New Roman" w:hAnsi="Times New Roman" w:cs="Times New Roman"/>
          <w:color w:val="000000" w:themeColor="text1"/>
          <w:highlight w:val="none"/>
          <w14:textFill>
            <w14:solidFill>
              <w14:schemeClr w14:val="tx1"/>
            </w14:solidFill>
          </w14:textFill>
        </w:rPr>
        <w:t>县</w:t>
      </w:r>
      <w:r>
        <w:rPr>
          <w:rFonts w:ascii="Times New Roman" w:hAnsi="Times New Roman" w:cs="Times New Roman"/>
          <w:color w:val="000000" w:themeColor="text1"/>
          <w:highlight w:val="none"/>
          <w14:textFill>
            <w14:solidFill>
              <w14:schemeClr w14:val="tx1"/>
            </w14:solidFill>
          </w14:textFill>
        </w:rPr>
        <w:t>、南乐</w:t>
      </w:r>
      <w:r>
        <w:rPr>
          <w:rFonts w:hint="eastAsia" w:ascii="Times New Roman" w:hAnsi="Times New Roman" w:cs="Times New Roman"/>
          <w:color w:val="000000" w:themeColor="text1"/>
          <w:highlight w:val="none"/>
          <w14:textFill>
            <w14:solidFill>
              <w14:schemeClr w14:val="tx1"/>
            </w14:solidFill>
          </w14:textFill>
        </w:rPr>
        <w:t>县</w:t>
      </w:r>
      <w:r>
        <w:rPr>
          <w:rFonts w:ascii="Times New Roman" w:hAnsi="Times New Roman" w:cs="Times New Roman"/>
          <w:color w:val="000000" w:themeColor="text1"/>
          <w:highlight w:val="none"/>
          <w14:textFill>
            <w14:solidFill>
              <w14:schemeClr w14:val="tx1"/>
            </w14:solidFill>
          </w14:textFill>
        </w:rPr>
        <w:t>产业集聚区集聚</w:t>
      </w:r>
      <w:r>
        <w:rPr>
          <w:rFonts w:hint="eastAsia" w:ascii="Times New Roman" w:hAnsi="Times New Roman" w:cs="Times New Roman"/>
          <w:color w:val="000000" w:themeColor="text1"/>
          <w:highlight w:val="none"/>
          <w14:textFill>
            <w14:solidFill>
              <w14:schemeClr w14:val="tx1"/>
            </w14:solidFill>
          </w14:textFill>
        </w:rPr>
        <w:t>发展</w:t>
      </w:r>
      <w:r>
        <w:rPr>
          <w:rFonts w:ascii="Times New Roman" w:hAnsi="Times New Roman" w:cs="Times New Roman"/>
          <w:color w:val="000000" w:themeColor="text1"/>
          <w:highlight w:val="none"/>
          <w14:textFill>
            <w14:solidFill>
              <w14:schemeClr w14:val="tx1"/>
            </w14:solidFill>
          </w14:textFill>
        </w:rPr>
        <w:t>。</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清丰县</w:t>
      </w:r>
      <w:r>
        <w:rPr>
          <w:rFonts w:hint="eastAsia" w:ascii="Times New Roman" w:hAnsi="Times New Roman" w:cs="Times New Roman"/>
          <w:b/>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实施食用菌带动，打造食用菌强县，依托科丰等“丰”字号食用菌生产龙头企业，推进“党建+扶贫+食用菌”工程，引导企业积极开展食用菌深加工。依托</w:t>
      </w:r>
      <w:r>
        <w:rPr>
          <w:rFonts w:hint="eastAsia" w:ascii="Times New Roman" w:hAnsi="Times New Roman" w:cs="Times New Roman"/>
          <w:color w:val="000000" w:themeColor="text1"/>
          <w:lang w:eastAsia="zh-CN"/>
          <w14:textFill>
            <w14:solidFill>
              <w14:schemeClr w14:val="tx1"/>
            </w14:solidFill>
          </w14:textFill>
        </w:rPr>
        <w:t>华薯农业</w:t>
      </w:r>
      <w:r>
        <w:rPr>
          <w:rFonts w:ascii="Times New Roman" w:hAnsi="Times New Roman" w:cs="Times New Roman"/>
          <w:color w:val="000000" w:themeColor="text1"/>
          <w14:textFill>
            <w14:solidFill>
              <w14:schemeClr w14:val="tx1"/>
            </w14:solidFill>
          </w14:textFill>
        </w:rPr>
        <w:t>红薯种苗培育基地，实施现代化种植技术，大力发展红薯深加工。发挥“桃园建民”等名牌食品带动作用，做实做长优势产业链，实现产业集群发展。</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南乐县</w:t>
      </w:r>
      <w:r>
        <w:rPr>
          <w:rFonts w:hint="eastAsia" w:ascii="Times New Roman" w:hAnsi="Times New Roman" w:cs="Times New Roman"/>
          <w:b/>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围绕冷饮、肉制品加工、白酒三大食品产业链条，不断提高产业综合竞争力。借力木伦河集团做大做强冷饮食品产业，重点抓好冰淇淋小镇、冷链物流等项目。加快培育养殖、分割、熟食加工全产业链条，重点抓好唐人神生猪、首农“小优鸡”等项目。重塑白酒传统产业，重点抓好仰韶文化产业园等项目。</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濮阳县</w:t>
      </w:r>
      <w:r>
        <w:rPr>
          <w:rFonts w:hint="eastAsia" w:ascii="Times New Roman" w:hAnsi="Times New Roman" w:cs="Times New Roman"/>
          <w:b/>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以精深加工和绿色有机为发展方向，发展肉制品、休闲方便食品、粮油加工、调味品、饮料制品及保健品，重点抓好训达油脂、凯利来食品等企业。</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（五）重点任务</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w:t>
      </w:r>
      <w:r>
        <w:rPr>
          <w:rFonts w:hint="eastAsia" w:ascii="Times New Roman" w:hAnsi="Times New Roman" w:cs="Times New Roman"/>
          <w:b/>
          <w:bCs/>
          <w:color w:val="000000" w:themeColor="text1"/>
          <w:lang w:val="en-US" w:eastAsia="zh-CN"/>
          <w14:textFill>
            <w14:solidFill>
              <w14:schemeClr w14:val="tx1"/>
            </w14:solidFill>
          </w14:textFill>
        </w:rPr>
        <w:t>完善</w:t>
      </w:r>
      <w:r>
        <w:rPr>
          <w:rFonts w:ascii="Times New Roman" w:hAnsi="Times New Roman" w:cs="Times New Roman"/>
          <w:b/>
          <w:bCs/>
          <w:color w:val="000000" w:themeColor="text1"/>
          <w14:textFill>
            <w14:solidFill>
              <w14:schemeClr w14:val="tx1"/>
            </w14:solidFill>
          </w14:textFill>
        </w:rPr>
        <w:t>粮食</w:t>
      </w:r>
      <w:r>
        <w:rPr>
          <w:rFonts w:hint="eastAsia" w:ascii="Times New Roman" w:hAnsi="Times New Roman" w:cs="Times New Roman"/>
          <w:b/>
          <w:bCs/>
          <w:color w:val="000000" w:themeColor="text1"/>
          <w:lang w:val="en-US" w:eastAsia="zh-CN"/>
          <w14:textFill>
            <w14:solidFill>
              <w14:schemeClr w14:val="tx1"/>
            </w14:solidFill>
          </w14:textFill>
        </w:rPr>
        <w:t>精深</w:t>
      </w:r>
      <w:r>
        <w:rPr>
          <w:rFonts w:ascii="Times New Roman" w:hAnsi="Times New Roman" w:cs="Times New Roman"/>
          <w:b/>
          <w:bCs/>
          <w:color w:val="000000" w:themeColor="text1"/>
          <w14:textFill>
            <w14:solidFill>
              <w14:schemeClr w14:val="tx1"/>
            </w14:solidFill>
          </w14:textFill>
        </w:rPr>
        <w:t>加工</w:t>
      </w:r>
      <w:r>
        <w:rPr>
          <w:rFonts w:hint="eastAsia" w:ascii="Times New Roman" w:hAnsi="Times New Roman" w:cs="Times New Roman"/>
          <w:b/>
          <w:bCs/>
          <w:color w:val="000000" w:themeColor="text1"/>
          <w:lang w:val="en-US" w:eastAsia="zh-CN"/>
          <w14:textFill>
            <w14:solidFill>
              <w14:schemeClr w14:val="tx1"/>
            </w14:solidFill>
          </w14:textFill>
        </w:rPr>
        <w:t>产业链条</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依托中粮面业、豫粮面业等重点企业，优化产品结构，提升专用面粉和营养强化面粉加工能力，发展营养面条类、烘焙类、速冻类等面制主食；依托家家宜米业等重点企业，重点发展优质米、专用米、营养强化米等产品；积极开发玉米主食、休闲和方便食品，大力发展高效配方饲料，提高饲用玉米加工水平；依托清丰县红薯资源，不断延长红薯加工产业链条，提升红薯附加值。</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w:t>
      </w:r>
      <w:r>
        <w:rPr>
          <w:rFonts w:hint="eastAsia" w:ascii="Times New Roman" w:hAnsi="Times New Roman" w:cs="Times New Roman"/>
          <w:b/>
          <w:bCs/>
          <w:color w:val="000000" w:themeColor="text1"/>
          <w:lang w:val="en-US" w:eastAsia="zh-CN"/>
          <w14:textFill>
            <w14:solidFill>
              <w14:schemeClr w14:val="tx1"/>
            </w14:solidFill>
          </w14:textFill>
        </w:rPr>
        <w:t>完善</w:t>
      </w:r>
      <w:r>
        <w:rPr>
          <w:rFonts w:ascii="Times New Roman" w:hAnsi="Times New Roman" w:cs="Times New Roman"/>
          <w:b/>
          <w:bCs/>
          <w:color w:val="000000" w:themeColor="text1"/>
          <w14:textFill>
            <w14:solidFill>
              <w14:schemeClr w14:val="tx1"/>
            </w14:solidFill>
          </w14:textFill>
        </w:rPr>
        <w:t>肉及肉制品</w:t>
      </w:r>
      <w:r>
        <w:rPr>
          <w:rFonts w:hint="eastAsia" w:ascii="Times New Roman" w:hAnsi="Times New Roman" w:cs="Times New Roman"/>
          <w:b/>
          <w:bCs/>
          <w:color w:val="000000" w:themeColor="text1"/>
          <w:lang w:val="en-US" w:eastAsia="zh-CN"/>
          <w14:textFill>
            <w14:solidFill>
              <w14:schemeClr w14:val="tx1"/>
            </w14:solidFill>
          </w14:textFill>
        </w:rPr>
        <w:t>产业链条</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依托德信食品、新希望六和、唐人神、牧原集团、禾丰集团、众汇食品等重点企业，加快培育生猪产业链（饲料加工—乳猪繁育—生猪育肥—屠宰分割—熟食加工）、肉禽产业链（饲料养殖—屠宰分割—熟食加工），再到冷链物流、品牌推广、食品销售为一体的全产业链条，提高传统肉制品的质量和档次，打造华北地区最大的肉禽加工基地。</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3.</w:t>
      </w:r>
      <w:r>
        <w:rPr>
          <w:rFonts w:hint="eastAsia" w:ascii="Times New Roman" w:hAnsi="Times New Roman" w:cs="Times New Roman"/>
          <w:b/>
          <w:bCs/>
          <w:color w:val="000000" w:themeColor="text1"/>
          <w:lang w:val="en-US" w:eastAsia="zh-CN"/>
          <w14:textFill>
            <w14:solidFill>
              <w14:schemeClr w14:val="tx1"/>
            </w14:solidFill>
          </w14:textFill>
        </w:rPr>
        <w:t>完善</w:t>
      </w:r>
      <w:r>
        <w:rPr>
          <w:rFonts w:ascii="Times New Roman" w:hAnsi="Times New Roman" w:cs="Times New Roman"/>
          <w:b/>
          <w:bCs/>
          <w:color w:val="000000" w:themeColor="text1"/>
          <w14:textFill>
            <w14:solidFill>
              <w14:schemeClr w14:val="tx1"/>
            </w14:solidFill>
          </w14:textFill>
        </w:rPr>
        <w:t>果蔬加工</w:t>
      </w:r>
      <w:r>
        <w:rPr>
          <w:rFonts w:hint="eastAsia" w:ascii="Times New Roman" w:hAnsi="Times New Roman" w:cs="Times New Roman"/>
          <w:b/>
          <w:bCs/>
          <w:color w:val="000000" w:themeColor="text1"/>
          <w:lang w:val="en-US" w:eastAsia="zh-CN"/>
          <w14:textFill>
            <w14:solidFill>
              <w14:schemeClr w14:val="tx1"/>
            </w14:solidFill>
          </w14:textFill>
        </w:rPr>
        <w:t>产业链条</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加快食用菌、辣椒等加工用果蔬原料基地建设，支持龙丰实业、桃园建民、龙乡红食品等重点企业加快发展，提高精深加工能力。发挥清丰县食用菌资源优势，培育食用菌加工龙头企业，加快建成百亿级食用菌产业集群。积极发展果蔬饮料、脱水制品，开发符合市场需求的新型果蔬食品。</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4.</w:t>
      </w:r>
      <w:r>
        <w:rPr>
          <w:rFonts w:hint="eastAsia" w:ascii="Times New Roman" w:hAnsi="Times New Roman" w:cs="Times New Roman"/>
          <w:b/>
          <w:bCs/>
          <w:color w:val="000000" w:themeColor="text1"/>
          <w:lang w:val="en-US" w:eastAsia="zh-CN"/>
          <w14:textFill>
            <w14:solidFill>
              <w14:schemeClr w14:val="tx1"/>
            </w14:solidFill>
          </w14:textFill>
        </w:rPr>
        <w:t>提升</w:t>
      </w:r>
      <w:r>
        <w:rPr>
          <w:rFonts w:ascii="Times New Roman" w:hAnsi="Times New Roman" w:cs="Times New Roman"/>
          <w:b/>
          <w:bCs/>
          <w:color w:val="000000" w:themeColor="text1"/>
          <w14:textFill>
            <w14:solidFill>
              <w14:schemeClr w14:val="tx1"/>
            </w14:solidFill>
          </w14:textFill>
        </w:rPr>
        <w:t>食用植物油加工</w:t>
      </w:r>
      <w:r>
        <w:rPr>
          <w:rFonts w:hint="eastAsia" w:ascii="Times New Roman" w:hAnsi="Times New Roman" w:cs="Times New Roman"/>
          <w:b/>
          <w:bCs/>
          <w:color w:val="000000" w:themeColor="text1"/>
          <w:lang w:val="en-US" w:eastAsia="zh-CN"/>
          <w14:textFill>
            <w14:solidFill>
              <w14:schemeClr w14:val="tx1"/>
            </w14:solidFill>
          </w14:textFill>
        </w:rPr>
        <w:t>水平</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依托训达油脂、天行健生物等重点企业，优化植物油产品结构，提升油料精深加工水平，重点发展精制油、专用油，推动玉米油、米糠油等油脂生产，提高油料综合利用率。</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5.</w:t>
      </w:r>
      <w:r>
        <w:rPr>
          <w:rFonts w:hint="eastAsia" w:ascii="Times New Roman" w:hAnsi="Times New Roman" w:cs="Times New Roman"/>
          <w:b/>
          <w:bCs/>
          <w:color w:val="000000" w:themeColor="text1"/>
          <w:lang w:val="en-US" w:eastAsia="zh-CN"/>
          <w14:textFill>
            <w14:solidFill>
              <w14:schemeClr w14:val="tx1"/>
            </w14:solidFill>
          </w14:textFill>
        </w:rPr>
        <w:t>打造冷饮制品生产基地</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依托木伦河集团、雪汇食品等重点企业，生产冰淇淋、乳饮料、酸奶等主导产品，支持木伦河集团建设南乐县冷饮食品产业园，加快推进冷链物流项目，积极引进香精、可可粉和奶粉等多种原料供应商，打造豫北地区最大的冷饮制品生产基地。</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6.</w:t>
      </w:r>
      <w:r>
        <w:rPr>
          <w:rFonts w:hint="eastAsia" w:ascii="Times New Roman" w:hAnsi="Times New Roman" w:cs="Times New Roman"/>
          <w:b/>
          <w:bCs/>
          <w:color w:val="000000" w:themeColor="text1"/>
          <w:lang w:val="en-US" w:eastAsia="zh-CN"/>
          <w14:textFill>
            <w14:solidFill>
              <w14:schemeClr w14:val="tx1"/>
            </w14:solidFill>
          </w14:textFill>
        </w:rPr>
        <w:t>大力振兴</w:t>
      </w:r>
      <w:r>
        <w:rPr>
          <w:rFonts w:ascii="Times New Roman" w:hAnsi="Times New Roman" w:cs="Times New Roman"/>
          <w:b/>
          <w:bCs/>
          <w:color w:val="000000" w:themeColor="text1"/>
          <w14:textFill>
            <w14:solidFill>
              <w14:schemeClr w14:val="tx1"/>
            </w14:solidFill>
          </w14:textFill>
        </w:rPr>
        <w:t>白酒制造</w:t>
      </w:r>
      <w:r>
        <w:rPr>
          <w:rFonts w:hint="eastAsia" w:ascii="Times New Roman" w:hAnsi="Times New Roman" w:cs="Times New Roman"/>
          <w:b/>
          <w:bCs/>
          <w:color w:val="000000" w:themeColor="text1"/>
          <w:lang w:val="en-US" w:eastAsia="zh-CN"/>
          <w14:textFill>
            <w14:solidFill>
              <w14:schemeClr w14:val="tx1"/>
            </w14:solidFill>
          </w14:textFill>
        </w:rPr>
        <w:t>业</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依托顿丘、九鼎等重点企业，引导和推动南乐县白酒企业以联合、重组、收购、转让等多种方式，实现产业资源的整合，抱团发展。支持顿丘酒业做大做强，加快转型升级，不断扩大市场影响力。</w:t>
      </w:r>
    </w:p>
    <w:tbl>
      <w:tblPr>
        <w:tblStyle w:val="14"/>
        <w:tblW w:w="882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8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820" w:type="dxa"/>
            <w:tcBorders>
              <w:top w:val="outset" w:color="auto" w:sz="6" w:space="0"/>
              <w:bottom w:val="outset" w:color="auto" w:sz="6" w:space="0"/>
            </w:tcBorders>
            <w:vAlign w:val="center"/>
          </w:tcPr>
          <w:p>
            <w:pPr>
              <w:spacing w:line="560" w:lineRule="exact"/>
              <w:jc w:val="center"/>
              <w:rPr>
                <w:rFonts w:ascii="Times New Roman" w:hAnsi="Times New Roman" w:cs="Times New Roman"/>
                <w:color w:val="000000" w:themeColor="text1"/>
                <w:kern w:val="0"/>
                <w:sz w:val="22"/>
                <w:szCs w:val="22"/>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专栏5  食品工业重点规划建设项目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10" w:hRule="atLeast"/>
          <w:jc w:val="center"/>
        </w:trPr>
        <w:tc>
          <w:tcPr>
            <w:tcW w:w="8820" w:type="dxa"/>
            <w:tcBorders>
              <w:top w:val="outset" w:color="auto" w:sz="6" w:space="0"/>
              <w:bottom w:val="outset" w:color="auto" w:sz="6" w:space="0"/>
            </w:tcBorders>
            <w:vAlign w:val="center"/>
          </w:tcPr>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重点建设凯利来食品有限公司有机食品生产项目、河南香香华夫现代食品产业园项目、南乐县冷饮食品产业园建设项目、河南唐人神肉类食品有限公司生猪全产业链项目、广东唐顺兴羽禽肉加工项目、</w:t>
            </w:r>
            <w:r>
              <w:rPr>
                <w:rFonts w:hint="eastAsia" w:ascii="Times New Roman" w:hAnsi="Times New Roman" w:cs="Times New Roman"/>
                <w:color w:val="000000" w:themeColor="text1"/>
                <w:kern w:val="0"/>
                <w:sz w:val="24"/>
                <w:szCs w:val="24"/>
                <w:lang w:eastAsia="zh-CN"/>
                <w14:textFill>
                  <w14:solidFill>
                    <w14:schemeClr w14:val="tx1"/>
                  </w14:solidFill>
                </w14:textFill>
              </w:rPr>
              <w:t>河南裕丰农业科技有限公司食用菌生产项目</w:t>
            </w:r>
            <w:r>
              <w:rPr>
                <w:rFonts w:ascii="Times New Roman" w:hAnsi="Times New Roman" w:cs="Times New Roman"/>
                <w:color w:val="000000" w:themeColor="text1"/>
                <w:kern w:val="0"/>
                <w:sz w:val="24"/>
                <w:szCs w:val="24"/>
                <w14:textFill>
                  <w14:solidFill>
                    <w14:schemeClr w14:val="tx1"/>
                  </w14:solidFill>
                </w14:textFill>
              </w:rPr>
              <w:t>、濮阳禾丰食品有限公司肉鸡全产业链建设项目、濮阳市增运食品有限公司速冻食品智动化生产线扩建项目。</w:t>
            </w:r>
          </w:p>
        </w:tc>
      </w:tr>
    </w:tbl>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51" w:name="_Toc62834781"/>
      <w:bookmarkStart w:id="52" w:name="_Toc23344"/>
      <w:bookmarkStart w:id="53" w:name="_Toc13999"/>
      <w:r>
        <w:rPr>
          <w:rFonts w:hint="eastAsia" w:ascii="Times New Roman" w:hAnsi="Times New Roman" w:cs="Times New Roman"/>
          <w:color w:val="000000" w:themeColor="text1"/>
          <w:lang w:val="en-US" w:eastAsia="zh-CN"/>
          <w14:textFill>
            <w14:solidFill>
              <w14:schemeClr w14:val="tx1"/>
            </w14:solidFill>
          </w14:textFill>
        </w:rPr>
        <w:t>四</w:t>
      </w:r>
      <w:r>
        <w:rPr>
          <w:rFonts w:ascii="Times New Roman" w:hAnsi="Times New Roman" w:cs="Times New Roman"/>
          <w:color w:val="000000" w:themeColor="text1"/>
          <w14:textFill>
            <w14:solidFill>
              <w14:schemeClr w14:val="tx1"/>
            </w14:solidFill>
          </w14:textFill>
        </w:rPr>
        <w:t>、现代家居产业</w:t>
      </w:r>
      <w:bookmarkEnd w:id="51"/>
      <w:bookmarkEnd w:id="52"/>
      <w:bookmarkEnd w:id="53"/>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（一）发展基础</w:t>
      </w:r>
    </w:p>
    <w:p>
      <w:pPr>
        <w:ind w:firstLine="640" w:firstLineChars="200"/>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三五”以来，我市以大力承接京津冀等地区产业转移为途径，强力延伸产业链条，全面优化产业结构，“三大改造”成效明显，涌现出南方家居、全友家私等一批行业龙头企业和登星家居、森大木业等一批本土企业，形成了清丰县产业集聚区家居产业基地、登星家具产业园、张庄木业产业园等园区，其中，清丰县家居产业集群被中国家具协会评为“中国中部（清丰）家具产业基地”，是河南省唯一确定以家居为主导产业的产业聚集区，是中国最集聚、最规范、最有特色、最具成长性的实木家具产业基地。</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（二）发展思路</w:t>
      </w:r>
    </w:p>
    <w:p>
      <w:pPr>
        <w:pStyle w:val="2"/>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紧紧围绕“建设生态产业，打造家居之都”的目标，提升清丰县“中国中部家居之都”、“中国·清丰实木家具博览会”影响力，坚持承接产业转移和产业提质增效并重，重点推动实木、板式、软体三大特色集群加快向高端家居、智能家居、定制家居转型发展，完善研发设计、品牌营销、物流配送、辅料配件等生产体系，</w:t>
      </w:r>
      <w:r>
        <w:rPr>
          <w:rFonts w:hint="eastAsia" w:ascii="Times New Roman" w:hAnsi="Times New Roman" w:eastAsia="仿宋_GB2312" w:cs="Times New Roman"/>
          <w:color w:val="000000" w:themeColor="text1"/>
          <w:lang w:val="en-US" w:eastAsia="zh-CN"/>
          <w14:textFill>
            <w14:solidFill>
              <w14:schemeClr w14:val="tx1"/>
            </w14:solidFill>
          </w14:textFill>
        </w:rPr>
        <w:t>打造绿色家居全国集散地</w:t>
      </w:r>
      <w:r>
        <w:rPr>
          <w:rFonts w:ascii="Times New Roman" w:hAnsi="Times New Roman" w:eastAsia="仿宋_GB2312" w:cs="Times New Roman"/>
          <w:color w:val="000000" w:themeColor="text1"/>
          <w14:textFill>
            <w14:solidFill>
              <w14:schemeClr w14:val="tx1"/>
            </w14:solidFill>
          </w14:textFill>
        </w:rPr>
        <w:t>。</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（三）发展目标</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2025年，清丰县产业集聚区入驻家居企业达到500家，形成5家超5亿、20家超1亿元企业，产业规模达到100亿。</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（四）空间布局</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以清丰县产业集聚区为依托，</w:t>
      </w:r>
      <w:r>
        <w:rPr>
          <w:rFonts w:hint="eastAsia" w:ascii="Times New Roman" w:hAnsi="Times New Roman" w:cs="Times New Roman"/>
          <w:color w:val="000000" w:themeColor="text1"/>
          <w:highlight w:val="none"/>
          <w14:textFill>
            <w14:solidFill>
              <w14:schemeClr w14:val="tx1"/>
            </w14:solidFill>
          </w14:textFill>
        </w:rPr>
        <w:t>打造中国实木家具重要产销地</w:t>
      </w:r>
      <w:r>
        <w:rPr>
          <w:rFonts w:ascii="Times New Roman" w:hAnsi="Times New Roman" w:cs="Times New Roman"/>
          <w:color w:val="000000" w:themeColor="text1"/>
          <w14:textFill>
            <w14:solidFill>
              <w14:schemeClr w14:val="tx1"/>
            </w14:solidFill>
          </w14:textFill>
        </w:rPr>
        <w:t>。抢抓濮阳无水港建设机遇，申请设立新型内陆口岸，解决进口木材直接通关和检验检疫问题。启动占地面积100亩的物流项目，建设占地160亩的家居商贸中心，推进万隆、巨丰等专业辅料城建设，打造辐射周边200公里区域性家居产业原辅材料基地。</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（五）重点任务</w:t>
      </w:r>
    </w:p>
    <w:p>
      <w:pPr>
        <w:ind w:firstLine="643"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1.提升研发设计能力。</w:t>
      </w:r>
      <w:r>
        <w:rPr>
          <w:rFonts w:ascii="Times New Roman" w:hAnsi="Times New Roman" w:cs="Times New Roman"/>
          <w:color w:val="000000" w:themeColor="text1"/>
          <w14:textFill>
            <w14:solidFill>
              <w14:schemeClr w14:val="tx1"/>
            </w14:solidFill>
          </w14:textFill>
        </w:rPr>
        <w:t>以“四个一批”建设为抓手，以产学研合作为载体，积极培育建设家具设计中心研发平台，加强与高等院校、科研机构合作，拓展与企业对接的渠道与领域，为企业开发新技术、新工艺、新产品提供技术服务，加快企业科技成果的转换与产业化发展。</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2.推动集群发展。</w:t>
      </w:r>
      <w:r>
        <w:rPr>
          <w:rFonts w:ascii="Times New Roman" w:hAnsi="Times New Roman" w:cs="Times New Roman"/>
          <w:color w:val="000000" w:themeColor="text1"/>
          <w14:textFill>
            <w14:solidFill>
              <w14:schemeClr w14:val="tx1"/>
            </w14:solidFill>
          </w14:textFill>
        </w:rPr>
        <w:t>以清丰县产业集聚区为主体，进一步完善基础设施建设，督促在建企业尽快投产，协调落地企业尽快开工建设，打造家居产业发展新中心。实施龙头企业带动战略，大力引导和积极鼓励企业兼并联合或者进行股份制改造，探索组建2—3家家居产业集团，形成相互协作配套和集群式发展新格局。完成由单一家具制造业主导向全链条发展转变，提升产业园区整体功能。持续加大招商引资力度，继续实施“京津冀+”行动计划和产业招商行动，</w:t>
      </w:r>
      <w:r>
        <w:rPr>
          <w:rFonts w:ascii="Times New Roman" w:hAnsi="Times New Roman" w:cs="Times New Roman"/>
          <w:color w:val="000000" w:themeColor="text1"/>
          <w:kern w:val="0"/>
          <w14:textFill>
            <w14:solidFill>
              <w14:schemeClr w14:val="tx1"/>
            </w14:solidFill>
          </w14:textFill>
        </w:rPr>
        <w:t>主攻珠三角高档家具、长三角办公家具、京津冀钢木家具、东北实木家具“一对一”、“点对点”推介对接，</w:t>
      </w:r>
      <w:r>
        <w:rPr>
          <w:rFonts w:ascii="Times New Roman" w:hAnsi="Times New Roman" w:cs="Times New Roman"/>
          <w:color w:val="000000" w:themeColor="text1"/>
          <w14:textFill>
            <w14:solidFill>
              <w14:schemeClr w14:val="tx1"/>
            </w14:solidFill>
          </w14:textFill>
        </w:rPr>
        <w:t>力争引进超亿元项目40个。加快家居商贸中心和家居物流园区建设。</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3.大力培育</w:t>
      </w:r>
      <w:r>
        <w:rPr>
          <w:rFonts w:hint="eastAsia" w:ascii="Times New Roman" w:hAnsi="Times New Roman" w:cs="Times New Roman"/>
          <w:b/>
          <w:color w:val="000000" w:themeColor="text1"/>
          <w:lang w:val="en-US" w:eastAsia="zh-CN"/>
          <w14:textFill>
            <w14:solidFill>
              <w14:schemeClr w14:val="tx1"/>
            </w14:solidFill>
          </w14:textFill>
        </w:rPr>
        <w:t>本土</w:t>
      </w:r>
      <w:r>
        <w:rPr>
          <w:rFonts w:ascii="Times New Roman" w:hAnsi="Times New Roman" w:cs="Times New Roman"/>
          <w:b/>
          <w:color w:val="000000" w:themeColor="text1"/>
          <w14:textFill>
            <w14:solidFill>
              <w14:schemeClr w14:val="tx1"/>
            </w14:solidFill>
          </w14:textFill>
        </w:rPr>
        <w:t>品牌。</w:t>
      </w:r>
      <w:r>
        <w:rPr>
          <w:rFonts w:ascii="Times New Roman" w:hAnsi="Times New Roman" w:cs="Times New Roman"/>
          <w:color w:val="000000" w:themeColor="text1"/>
          <w14:textFill>
            <w14:solidFill>
              <w14:schemeClr w14:val="tx1"/>
            </w14:solidFill>
          </w14:textFill>
        </w:rPr>
        <w:t>整合区域资源，利用木工之乡的传统文化底蕴，注册统一的清丰家具品牌，注册国家地理标志保护产品和相应商标，统一进行品牌的塑造和推广。出台品牌激励措施，鼓励家具企业积极申请中国驰名商标、河南省著名商标、中国地理标志等。组建品牌家居企业联盟，树立业内标杆，提高家居行业整体品牌意识，不断增强产品竞争力。加强同中国家协、河南省家协的联系合作，积极承办和参加区域性、全国性专业竞赛、论坛、展会等，不断提升企业的品牌知名度和美誉度。坚持每年举办清丰实木家具博览会，做大做实区域性专业家居会展品牌，争创中国北方地区“实木第一展”。</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4.强化产业支撑。</w:t>
      </w:r>
      <w:r>
        <w:rPr>
          <w:rFonts w:ascii="Times New Roman" w:hAnsi="Times New Roman" w:cs="Times New Roman"/>
          <w:color w:val="000000" w:themeColor="text1"/>
          <w14:textFill>
            <w14:solidFill>
              <w14:schemeClr w14:val="tx1"/>
            </w14:solidFill>
          </w14:textFill>
        </w:rPr>
        <w:t>引导发展电子商务，搭建电商平台。支持规模以上家居企业大力发展电子商务，实现家居产业与电子商务深度融合。推动家居产业服务化发展，建立家具企业协作平台，围绕全屋定制，探索创新“一站式服务”。加大人才引进和培养力度，强化同南京林业大学、北京林业大学等专业院校合作，设立专业院校大学生实习基地，争取在市县职业技术学校开设家居专业课程。建立企业商学院、家具设计院、家具文创中心等，为企业提供研发设计、电子商务、直播经济和市场营销等方面的培训和专业人次。</w:t>
      </w:r>
    </w:p>
    <w:tbl>
      <w:tblPr>
        <w:tblStyle w:val="14"/>
        <w:tblW w:w="874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7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8" w:hRule="atLeast"/>
          <w:jc w:val="center"/>
        </w:trPr>
        <w:tc>
          <w:tcPr>
            <w:tcW w:w="87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专栏6   现代家居产业重点规划建设项目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35" w:hRule="atLeast"/>
          <w:jc w:val="center"/>
        </w:trPr>
        <w:tc>
          <w:tcPr>
            <w:tcW w:w="874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谋划总投资</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21亿元湖</w:t>
            </w:r>
            <w:r>
              <w:rPr>
                <w:rFonts w:hint="eastAsia" w:ascii="Times New Roman" w:hAnsi="Times New Roman" w:cs="Times New Roman"/>
                <w:color w:val="000000" w:themeColor="text1"/>
                <w:kern w:val="0"/>
                <w:sz w:val="24"/>
                <w:szCs w:val="24"/>
                <w:lang w:eastAsia="zh-CN"/>
                <w14:textFill>
                  <w14:solidFill>
                    <w14:schemeClr w14:val="tx1"/>
                  </w14:solidFill>
                </w14:textFill>
              </w:rPr>
              <w:t>州家具清丰产业园项目，该项目占地400亩，总建筑面积50万平方米，入驻聚越家居、永威家居、得意家居等18家企业，主要建设出口橱柜制造、高端红木家具制造和家具新材料配套生产3个板块</w:t>
            </w:r>
            <w:r>
              <w:rPr>
                <w:rFonts w:ascii="Times New Roman" w:hAnsi="Times New Roman" w:cs="Times New Roman"/>
                <w:color w:val="000000" w:themeColor="text1"/>
                <w:kern w:val="0"/>
                <w:sz w:val="24"/>
                <w:szCs w:val="24"/>
                <w14:textFill>
                  <w14:solidFill>
                    <w14:schemeClr w14:val="tx1"/>
                  </w14:solidFill>
                </w14:textFill>
              </w:rPr>
              <w:t>。</w:t>
            </w:r>
          </w:p>
        </w:tc>
      </w:tr>
    </w:tbl>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54" w:name="_Toc62834782"/>
      <w:bookmarkStart w:id="55" w:name="_Toc20296"/>
      <w:bookmarkStart w:id="56" w:name="_Toc16874"/>
      <w:r>
        <w:rPr>
          <w:rFonts w:hint="eastAsia" w:ascii="Times New Roman" w:hAnsi="Times New Roman" w:cs="Times New Roman"/>
          <w:color w:val="000000" w:themeColor="text1"/>
          <w:lang w:val="en-US" w:eastAsia="zh-CN"/>
          <w14:textFill>
            <w14:solidFill>
              <w14:schemeClr w14:val="tx1"/>
            </w14:solidFill>
          </w14:textFill>
        </w:rPr>
        <w:t>五</w:t>
      </w:r>
      <w:r>
        <w:rPr>
          <w:rFonts w:ascii="Times New Roman" w:hAnsi="Times New Roman" w:cs="Times New Roman"/>
          <w:color w:val="000000" w:themeColor="text1"/>
          <w14:textFill>
            <w14:solidFill>
              <w14:schemeClr w14:val="tx1"/>
            </w14:solidFill>
          </w14:textFill>
        </w:rPr>
        <w:t>、羽绒制品产业</w:t>
      </w:r>
      <w:bookmarkEnd w:id="54"/>
      <w:bookmarkEnd w:id="55"/>
      <w:bookmarkEnd w:id="56"/>
    </w:p>
    <w:p>
      <w:pPr>
        <w:ind w:firstLine="640" w:firstLineChars="200"/>
        <w:rPr>
          <w:rFonts w:ascii="Times New Roman" w:hAnsi="Times New Roman" w:eastAsia="楷体_GB2312" w:cs="Times New Roman"/>
          <w:color w:val="000000"/>
        </w:rPr>
      </w:pPr>
      <w:bookmarkStart w:id="57" w:name="_Toc19530"/>
      <w:bookmarkStart w:id="58" w:name="_Toc62834783"/>
      <w:r>
        <w:rPr>
          <w:rFonts w:ascii="Times New Roman" w:hAnsi="Times New Roman" w:eastAsia="楷体_GB2312" w:cs="Times New Roman"/>
          <w:color w:val="000000"/>
        </w:rPr>
        <w:t>（一）发展基础</w:t>
      </w:r>
    </w:p>
    <w:p>
      <w:pPr>
        <w:ind w:firstLine="640" w:firstLineChars="200"/>
        <w:rPr>
          <w:rFonts w:ascii="Times New Roman" w:hAnsi="Times New Roman" w:cs="Times New Roman"/>
          <w:color w:val="000000"/>
        </w:rPr>
      </w:pPr>
      <w:r>
        <w:rPr>
          <w:rFonts w:ascii="Times New Roman" w:hAnsi="Times New Roman" w:cs="Times New Roman"/>
          <w:color w:val="000000"/>
        </w:rPr>
        <w:t>我市羽绒产业目前已形成了鸭鹅孵化、养殖</w:t>
      </w:r>
      <w:r>
        <w:rPr>
          <w:rFonts w:hint="eastAsia" w:ascii="Times New Roman" w:hAnsi="Times New Roman" w:cs="Times New Roman"/>
          <w:color w:val="000000"/>
          <w:lang w:eastAsia="zh-CN"/>
        </w:rPr>
        <w:t>、屠宰、</w:t>
      </w:r>
      <w:r>
        <w:rPr>
          <w:rFonts w:ascii="Times New Roman" w:hAnsi="Times New Roman" w:cs="Times New Roman"/>
          <w:color w:val="000000"/>
        </w:rPr>
        <w:t>羽绒水洗、分拣，羽绒被服、羽绒寝具、羽毛工艺品加工等系列制品深加工为一体的产业链条，建成投产鹏达年产8000吨优质水洗绒项目、可祺时装年设计生产500万套高端运动服饰</w:t>
      </w:r>
      <w:r>
        <w:rPr>
          <w:rFonts w:hint="eastAsia" w:ascii="Times New Roman" w:hAnsi="Times New Roman" w:cs="Times New Roman"/>
          <w:color w:val="000000"/>
          <w:lang w:eastAsia="zh-CN"/>
        </w:rPr>
        <w:t>、河南柳桥年加工5千吨羽绒项目</w:t>
      </w:r>
      <w:r>
        <w:rPr>
          <w:rFonts w:ascii="Times New Roman" w:hAnsi="Times New Roman" w:cs="Times New Roman"/>
          <w:color w:val="000000"/>
        </w:rPr>
        <w:t>等一批重点项目，培育了鹏达、众鑫</w:t>
      </w:r>
      <w:r>
        <w:rPr>
          <w:rFonts w:hint="eastAsia" w:ascii="Times New Roman" w:hAnsi="Times New Roman" w:cs="Times New Roman"/>
          <w:color w:val="000000"/>
          <w:lang w:eastAsia="zh-CN"/>
        </w:rPr>
        <w:t>、宏宇</w:t>
      </w:r>
      <w:r>
        <w:rPr>
          <w:rFonts w:ascii="Times New Roman" w:hAnsi="Times New Roman" w:cs="Times New Roman"/>
          <w:color w:val="000000"/>
        </w:rPr>
        <w:t>等龙头骨干企业，发展了宏泰、华泰、永佳等外向型生产企业，产品出口德国、美国、英国、日本、中东等40多个国家和地区。服饰产业订单相对充足，生产形势稳定，培育发展了向阳服饰、英腾服饰、华源纺织、黑蚂蚁服饰等20多家服饰加工企业。举办了“中国羽绒行业标准及检测技术培训班”“中国羽绒行业标准化工作座谈会”“河南（台前）羽绒产业发展论坛”等一系列具有影响力的大型活动。羽绒制品加工产业发展基础越来越雄厚，市场份额位居全国前列，成为名副其实的“中国羽绒之乡”。</w:t>
      </w:r>
    </w:p>
    <w:p>
      <w:pPr>
        <w:ind w:firstLine="640" w:firstLineChars="200"/>
        <w:rPr>
          <w:rFonts w:ascii="Times New Roman" w:hAnsi="Times New Roman" w:eastAsia="楷体_GB2312" w:cs="Times New Roman"/>
          <w:color w:val="000000"/>
        </w:rPr>
      </w:pPr>
      <w:r>
        <w:rPr>
          <w:rFonts w:ascii="Times New Roman" w:hAnsi="Times New Roman" w:eastAsia="楷体_GB2312" w:cs="Times New Roman"/>
          <w:color w:val="000000"/>
        </w:rPr>
        <w:t>（二）发展思路</w:t>
      </w:r>
    </w:p>
    <w:p>
      <w:pPr>
        <w:ind w:firstLine="640" w:firstLineChars="200"/>
        <w:rPr>
          <w:rFonts w:ascii="Times New Roman" w:hAnsi="Times New Roman" w:cs="Times New Roman"/>
          <w:color w:val="000000"/>
        </w:rPr>
      </w:pPr>
      <w:r>
        <w:rPr>
          <w:rFonts w:ascii="Times New Roman" w:hAnsi="Times New Roman" w:cs="Times New Roman"/>
          <w:color w:val="000000"/>
        </w:rPr>
        <w:t>突出价值链高端化、生产过程绿色化、生产方式智能化，拓展做大上游，做强做优中游，延伸做精下游，建立优质、高效、生态、安全的生产体系，加快本地产业向台前集聚，大力招商导入品牌企业落户台前，重点打造上游原材料供应链和末端产品价值链，提升产业规模和产业价值链，加快健全羽绒全产业链体系，积极培育“两基地一中心”（中国最大的羽绒生产基地、国家羽绒制品产业基地、国际羽绒交易中心）。</w:t>
      </w:r>
    </w:p>
    <w:p>
      <w:pPr>
        <w:ind w:firstLine="640" w:firstLineChars="200"/>
        <w:rPr>
          <w:rFonts w:ascii="Times New Roman" w:hAnsi="Times New Roman" w:eastAsia="楷体_GB2312" w:cs="Times New Roman"/>
          <w:color w:val="000000"/>
        </w:rPr>
      </w:pPr>
      <w:r>
        <w:rPr>
          <w:rFonts w:ascii="Times New Roman" w:hAnsi="Times New Roman" w:eastAsia="楷体_GB2312" w:cs="Times New Roman"/>
          <w:color w:val="000000"/>
        </w:rPr>
        <w:t>（三）发展目标</w:t>
      </w:r>
    </w:p>
    <w:p>
      <w:pPr>
        <w:ind w:firstLine="640" w:firstLineChars="200"/>
        <w:rPr>
          <w:rFonts w:ascii="Times New Roman" w:hAnsi="Times New Roman" w:cs="Times New Roman"/>
          <w:color w:val="000000"/>
        </w:rPr>
      </w:pPr>
      <w:r>
        <w:rPr>
          <w:rFonts w:ascii="Times New Roman" w:hAnsi="Times New Roman" w:cs="Times New Roman"/>
          <w:color w:val="000000"/>
        </w:rPr>
        <w:t>到2025年，羽绒制品产业形成100亿级特色产业集群，规模以上企业达到30家，力争我市羽绒制品全国占有率达到30%，服饰产业品牌影响力明显提升。</w:t>
      </w:r>
    </w:p>
    <w:p>
      <w:pPr>
        <w:ind w:firstLine="640" w:firstLineChars="200"/>
        <w:rPr>
          <w:rFonts w:ascii="Times New Roman" w:hAnsi="Times New Roman" w:eastAsia="楷体_GB2312" w:cs="Times New Roman"/>
          <w:color w:val="000000"/>
        </w:rPr>
      </w:pPr>
      <w:r>
        <w:rPr>
          <w:rFonts w:ascii="Times New Roman" w:hAnsi="Times New Roman" w:eastAsia="楷体_GB2312" w:cs="Times New Roman"/>
          <w:color w:val="000000"/>
        </w:rPr>
        <w:t>（四）重点任务</w:t>
      </w:r>
    </w:p>
    <w:p>
      <w:pPr>
        <w:ind w:firstLine="643" w:firstLineChars="200"/>
        <w:rPr>
          <w:rFonts w:ascii="Times New Roman" w:hAnsi="Times New Roman" w:cs="Times New Roman"/>
          <w:color w:val="000000"/>
        </w:rPr>
      </w:pPr>
      <w:r>
        <w:rPr>
          <w:rFonts w:ascii="Times New Roman" w:hAnsi="Times New Roman" w:cs="Times New Roman"/>
          <w:b/>
          <w:bCs/>
          <w:color w:val="000000"/>
        </w:rPr>
        <w:t>1.做大水禽养殖、屠宰</w:t>
      </w:r>
      <w:r>
        <w:rPr>
          <w:rFonts w:hint="eastAsia" w:ascii="Times New Roman" w:hAnsi="Times New Roman" w:cs="Times New Roman"/>
          <w:b/>
          <w:bCs/>
          <w:color w:val="000000"/>
        </w:rPr>
        <w:t>及</w:t>
      </w:r>
      <w:r>
        <w:rPr>
          <w:rFonts w:ascii="Times New Roman" w:hAnsi="Times New Roman" w:cs="Times New Roman"/>
          <w:b/>
          <w:bCs/>
          <w:color w:val="000000"/>
        </w:rPr>
        <w:t>羽绒水洗、分拣。</w:t>
      </w:r>
      <w:r>
        <w:rPr>
          <w:rFonts w:ascii="Times New Roman" w:hAnsi="Times New Roman" w:cs="Times New Roman"/>
          <w:color w:val="000000"/>
        </w:rPr>
        <w:t>依托荡宇惠民食业有限公司，采取集中养殖与农户散养相结合的方式，不断扩大养殖规模，日屠宰量由目前2万只增加到12万只，建成鸭鹅养殖、屠宰基地。依托台前县“长江以北最大的羽绒羽毛集散地”优势，建设中威新塘年加工</w:t>
      </w:r>
      <w:r>
        <w:rPr>
          <w:rFonts w:hint="eastAsia" w:ascii="Times New Roman" w:hAnsi="Times New Roman" w:cs="Times New Roman"/>
          <w:color w:val="000000"/>
          <w:lang w:val="en-US" w:eastAsia="zh-CN"/>
        </w:rPr>
        <w:t>6</w:t>
      </w:r>
      <w:r>
        <w:rPr>
          <w:rFonts w:hint="eastAsia" w:ascii="Times New Roman" w:hAnsi="Times New Roman" w:cs="Times New Roman"/>
          <w:color w:val="000000"/>
          <w:lang w:eastAsia="zh-CN"/>
        </w:rPr>
        <w:t>千</w:t>
      </w:r>
      <w:r>
        <w:rPr>
          <w:rFonts w:ascii="Times New Roman" w:hAnsi="Times New Roman" w:cs="Times New Roman"/>
          <w:color w:val="000000"/>
        </w:rPr>
        <w:t>吨羽绒</w:t>
      </w:r>
      <w:r>
        <w:rPr>
          <w:rFonts w:hint="eastAsia" w:ascii="Times New Roman" w:hAnsi="Times New Roman" w:cs="Times New Roman"/>
          <w:color w:val="000000"/>
          <w:lang w:eastAsia="zh-CN"/>
        </w:rPr>
        <w:t>项目</w:t>
      </w:r>
      <w:r>
        <w:rPr>
          <w:rFonts w:ascii="Times New Roman" w:hAnsi="Times New Roman" w:cs="Times New Roman"/>
          <w:color w:val="000000"/>
        </w:rPr>
        <w:t>、台前县国际权威羽绒检验检测中心、羽绒精洗产业园项目，</w:t>
      </w:r>
      <w:r>
        <w:rPr>
          <w:rFonts w:hint="eastAsia" w:ascii="Times New Roman" w:hAnsi="Times New Roman" w:cs="Times New Roman"/>
          <w:color w:val="000000"/>
          <w:lang w:eastAsia="zh-CN"/>
        </w:rPr>
        <w:t>河南</w:t>
      </w:r>
      <w:r>
        <w:rPr>
          <w:rFonts w:ascii="Times New Roman" w:hAnsi="Times New Roman" w:cs="Times New Roman"/>
          <w:color w:val="000000"/>
        </w:rPr>
        <w:t>柳桥年加工5</w:t>
      </w:r>
      <w:r>
        <w:rPr>
          <w:rFonts w:hint="eastAsia" w:ascii="Times New Roman" w:hAnsi="Times New Roman" w:cs="Times New Roman"/>
          <w:color w:val="000000"/>
          <w:lang w:eastAsia="zh-CN"/>
        </w:rPr>
        <w:t>千</w:t>
      </w:r>
      <w:r>
        <w:rPr>
          <w:rFonts w:ascii="Times New Roman" w:hAnsi="Times New Roman" w:cs="Times New Roman"/>
          <w:color w:val="000000"/>
        </w:rPr>
        <w:t>吨羽绒项目，鹏达羽绒年加工3</w:t>
      </w:r>
      <w:r>
        <w:rPr>
          <w:rFonts w:hint="eastAsia" w:ascii="Times New Roman" w:hAnsi="Times New Roman" w:cs="Times New Roman"/>
          <w:color w:val="000000"/>
          <w:lang w:eastAsia="zh-CN"/>
        </w:rPr>
        <w:t>千</w:t>
      </w:r>
      <w:r>
        <w:rPr>
          <w:rFonts w:ascii="Times New Roman" w:hAnsi="Times New Roman" w:cs="Times New Roman"/>
          <w:color w:val="000000"/>
        </w:rPr>
        <w:t>吨羽绒项目，众鑫羽绒年加工2</w:t>
      </w:r>
      <w:r>
        <w:rPr>
          <w:rFonts w:hint="eastAsia" w:ascii="Times New Roman" w:hAnsi="Times New Roman" w:cs="Times New Roman"/>
          <w:color w:val="000000"/>
          <w:lang w:eastAsia="zh-CN"/>
        </w:rPr>
        <w:t>千</w:t>
      </w:r>
      <w:r>
        <w:rPr>
          <w:rFonts w:ascii="Times New Roman" w:hAnsi="Times New Roman" w:cs="Times New Roman"/>
          <w:color w:val="000000"/>
        </w:rPr>
        <w:t>吨羽绒原料项目，扩大羽绒羽毛加工规模总量，打造中国最大的羽绒生产基地和国际羽绒交易中心。</w:t>
      </w:r>
    </w:p>
    <w:p>
      <w:pPr>
        <w:ind w:firstLine="643" w:firstLineChars="200"/>
        <w:rPr>
          <w:rFonts w:ascii="Times New Roman" w:hAnsi="Times New Roman" w:cs="Times New Roman"/>
          <w:color w:val="000000"/>
        </w:rPr>
      </w:pPr>
      <w:r>
        <w:rPr>
          <w:rFonts w:ascii="Times New Roman" w:hAnsi="Times New Roman" w:cs="Times New Roman"/>
          <w:b/>
          <w:bCs/>
          <w:color w:val="000000"/>
        </w:rPr>
        <w:t>2.</w:t>
      </w:r>
      <w:r>
        <w:rPr>
          <w:rFonts w:hint="eastAsia" w:ascii="Times New Roman" w:hAnsi="Times New Roman" w:cs="Times New Roman"/>
          <w:b/>
          <w:bCs/>
          <w:color w:val="000000"/>
        </w:rPr>
        <w:t>强化项目</w:t>
      </w:r>
      <w:r>
        <w:rPr>
          <w:rFonts w:ascii="Times New Roman" w:hAnsi="Times New Roman" w:cs="Times New Roman"/>
          <w:b/>
          <w:bCs/>
          <w:color w:val="000000"/>
        </w:rPr>
        <w:t>和基地建设。</w:t>
      </w:r>
      <w:r>
        <w:rPr>
          <w:rFonts w:ascii="Times New Roman" w:hAnsi="Times New Roman" w:cs="Times New Roman"/>
          <w:color w:val="000000"/>
        </w:rPr>
        <w:t>建设中威新塘高端寝具服装项目；依托可祺时装引进安踏羽绒运动服饰项目，依托振羽羽绒引进水星家纺、罗莱家纺、富安娜家纺羽绒寝具加工项目；加快推进苏州东展羽绒服饰、奥玺诺服装等有意向项目尽快落地；积极对接苏州新工坊服饰生产基地、平湖市卓启羽绒服饰及精细产业园，浙江省杰克范、浙江省飞灵飞逊、浙江爱玛服饰、杭州罗迪服饰、杭州创元羽绒、杭州永丰羽绒等企业，打造国家羽绒制品产业基地。</w:t>
      </w:r>
    </w:p>
    <w:p>
      <w:pPr>
        <w:ind w:firstLine="643" w:firstLineChars="200"/>
        <w:rPr>
          <w:rFonts w:ascii="Times New Roman" w:hAnsi="Times New Roman" w:cs="Times New Roman"/>
          <w:color w:val="000000"/>
        </w:rPr>
      </w:pPr>
      <w:r>
        <w:rPr>
          <w:rFonts w:ascii="Times New Roman" w:hAnsi="Times New Roman" w:cs="Times New Roman"/>
          <w:b/>
          <w:color w:val="000000"/>
        </w:rPr>
        <w:t>3.推进产业价值链向高端攀升</w:t>
      </w:r>
      <w:r>
        <w:rPr>
          <w:rFonts w:ascii="Times New Roman" w:hAnsi="Times New Roman" w:cs="Times New Roman"/>
          <w:b/>
          <w:bCs/>
          <w:color w:val="000000"/>
        </w:rPr>
        <w:t>。</w:t>
      </w:r>
      <w:r>
        <w:rPr>
          <w:rFonts w:ascii="Times New Roman" w:hAnsi="Times New Roman" w:cs="Times New Roman"/>
          <w:color w:val="000000"/>
        </w:rPr>
        <w:t>支持鹏达、</w:t>
      </w:r>
      <w:r>
        <w:rPr>
          <w:rFonts w:hint="eastAsia" w:ascii="Times New Roman" w:hAnsi="Times New Roman" w:cs="Times New Roman"/>
          <w:color w:val="000000"/>
          <w:lang w:eastAsia="zh-CN"/>
        </w:rPr>
        <w:t>瑞翎</w:t>
      </w:r>
      <w:r>
        <w:rPr>
          <w:rFonts w:ascii="Times New Roman" w:hAnsi="Times New Roman" w:cs="Times New Roman"/>
          <w:color w:val="000000"/>
        </w:rPr>
        <w:t>等具有一定基础的企业积极向羽绒寝具、羽绒服饰等高技术、高附加值、竞争力强的终端产品冲刺，致力品牌化、时尚化、专业化、个性化的发展模式。鼓励向阳服饰、华源纺织等服装企业引进先进技术设备，提升服饰产品时尚度和市场竞争力，做强自身品牌。积极承接东部沿海纺织类产业转移，培育一批具有较强服装设计能力与发展活力的大中型羽绒服装加工企业，形成羽绒服装设计、生产、销售等企业聚集的羽绒服装加工区。鼓励羽绒制品生产企业创新销售模式，应用新一代信息技术和消费者互动，进行个性化定制，提升品牌高度和产品附加值。</w:t>
      </w:r>
    </w:p>
    <w:tbl>
      <w:tblPr>
        <w:tblStyle w:val="14"/>
        <w:tblW w:w="831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1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Times New Roman" w:hAnsi="Times New Roman" w:cs="Times New Roman"/>
                <w:color w:val="000000"/>
                <w:kern w:val="0"/>
                <w:sz w:val="28"/>
                <w:szCs w:val="28"/>
              </w:rPr>
            </w:pPr>
            <w:r>
              <w:rPr>
                <w:rFonts w:ascii="Times New Roman" w:hAnsi="Times New Roman" w:cs="Times New Roman"/>
                <w:color w:val="000000"/>
                <w:kern w:val="0"/>
                <w:sz w:val="24"/>
                <w:szCs w:val="24"/>
              </w:rPr>
              <w:t>专栏7   羽绒制品产业重点规划建设项目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1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rPr>
                <w:rFonts w:ascii="Times New Roman" w:hAnsi="Times New Roman" w:cs="Times New Roman"/>
                <w:color w:val="000000"/>
                <w:kern w:val="0"/>
                <w:sz w:val="28"/>
                <w:szCs w:val="28"/>
              </w:rPr>
            </w:pPr>
            <w:r>
              <w:rPr>
                <w:rFonts w:ascii="Times New Roman" w:hAnsi="Times New Roman" w:cs="Times New Roman"/>
                <w:color w:val="000000"/>
                <w:kern w:val="0"/>
                <w:sz w:val="24"/>
                <w:szCs w:val="24"/>
              </w:rPr>
              <w:t>规划项目11个，重点建设新塘羽绒水洗产业园年加工6000吨羽绒项目；</w:t>
            </w:r>
            <w:r>
              <w:rPr>
                <w:rFonts w:hint="eastAsia" w:ascii="Times New Roman" w:hAnsi="Times New Roman" w:cs="Times New Roman"/>
                <w:color w:val="000000"/>
                <w:kern w:val="0"/>
                <w:sz w:val="24"/>
                <w:szCs w:val="24"/>
                <w:lang w:eastAsia="zh-CN"/>
              </w:rPr>
              <w:t>河南</w:t>
            </w:r>
            <w:r>
              <w:rPr>
                <w:rFonts w:ascii="Times New Roman" w:hAnsi="Times New Roman" w:cs="Times New Roman"/>
                <w:color w:val="000000"/>
                <w:kern w:val="0"/>
                <w:sz w:val="24"/>
                <w:szCs w:val="24"/>
              </w:rPr>
              <w:t>柳桥集团年水洗5000吨羽绒项目；中兴羽绒年加工3000吨羽绒项目；大型羽绒加工项目；羽绒副产品加工项目；可祺时装年产500万件运动服饰扩建项目；台前县年出栏2500万只肉鸭农业现代化养殖项目；台前县产业集聚区供水及配套管网工程项目。</w:t>
            </w:r>
          </w:p>
        </w:tc>
      </w:tr>
    </w:tbl>
    <w:p>
      <w:pPr>
        <w:pStyle w:val="5"/>
        <w:spacing w:line="240" w:lineRule="auto"/>
        <w:ind w:firstLine="640"/>
        <w:rPr>
          <w:rFonts w:ascii="Times New Roman" w:hAnsi="Times New Roman" w:cs="Times New Roman"/>
          <w:color w:val="000000" w:themeColor="text1"/>
          <w14:textFill>
            <w14:solidFill>
              <w14:schemeClr w14:val="tx1"/>
            </w14:solidFill>
          </w14:textFill>
        </w:rPr>
      </w:pPr>
    </w:p>
    <w:bookmarkEnd w:id="57"/>
    <w:bookmarkEnd w:id="58"/>
    <w:p>
      <w:pPr>
        <w:pStyle w:val="5"/>
        <w:spacing w:line="240" w:lineRule="auto"/>
        <w:ind w:firstLine="0" w:firstLineChars="0"/>
        <w:jc w:val="center"/>
        <w:rPr>
          <w:rFonts w:ascii="Times New Roman" w:hAnsi="Times New Roman" w:cs="Times New Roman"/>
          <w:color w:val="000000" w:themeColor="text1"/>
          <w14:textFill>
            <w14:solidFill>
              <w14:schemeClr w14:val="tx1"/>
            </w14:solidFill>
          </w14:textFill>
        </w:rPr>
      </w:pPr>
      <w:bookmarkStart w:id="59" w:name="_Toc62834784"/>
      <w:bookmarkStart w:id="60" w:name="_Toc15639"/>
      <w:bookmarkStart w:id="61" w:name="_Toc11154"/>
      <w:r>
        <w:rPr>
          <w:rFonts w:ascii="Times New Roman" w:hAnsi="Times New Roman" w:cs="Times New Roman"/>
          <w:color w:val="000000" w:themeColor="text1"/>
          <w14:textFill>
            <w14:solidFill>
              <w14:schemeClr w14:val="tx1"/>
            </w14:solidFill>
          </w14:textFill>
        </w:rPr>
        <w:t>第</w:t>
      </w:r>
      <w:r>
        <w:rPr>
          <w:rFonts w:hint="eastAsia" w:ascii="Times New Roman" w:hAnsi="Times New Roman" w:cs="Times New Roman"/>
          <w:color w:val="000000" w:themeColor="text1"/>
          <w:lang w:val="en-US" w:eastAsia="zh-CN"/>
          <w14:textFill>
            <w14:solidFill>
              <w14:schemeClr w14:val="tx1"/>
            </w14:solidFill>
          </w14:textFill>
        </w:rPr>
        <w:t>二</w:t>
      </w:r>
      <w:r>
        <w:rPr>
          <w:rFonts w:ascii="Times New Roman" w:hAnsi="Times New Roman" w:cs="Times New Roman"/>
          <w:color w:val="000000" w:themeColor="text1"/>
          <w14:textFill>
            <w14:solidFill>
              <w14:schemeClr w14:val="tx1"/>
            </w14:solidFill>
          </w14:textFill>
        </w:rPr>
        <w:t>节  培育壮大</w:t>
      </w:r>
      <w:r>
        <w:rPr>
          <w:rFonts w:hint="eastAsia" w:ascii="Times New Roman" w:hAnsi="Times New Roman" w:cs="Times New Roman"/>
          <w:color w:val="000000" w:themeColor="text1"/>
          <w:lang w:val="en-US" w:eastAsia="zh-CN"/>
          <w14:textFill>
            <w14:solidFill>
              <w14:schemeClr w14:val="tx1"/>
            </w14:solidFill>
          </w14:textFill>
        </w:rPr>
        <w:t>新兴</w:t>
      </w:r>
      <w:r>
        <w:rPr>
          <w:rFonts w:ascii="Times New Roman" w:hAnsi="Times New Roman" w:cs="Times New Roman"/>
          <w:color w:val="000000" w:themeColor="text1"/>
          <w14:textFill>
            <w14:solidFill>
              <w14:schemeClr w14:val="tx1"/>
            </w14:solidFill>
          </w14:textFill>
        </w:rPr>
        <w:t>产业</w:t>
      </w:r>
      <w:bookmarkEnd w:id="59"/>
      <w:bookmarkEnd w:id="60"/>
      <w:bookmarkEnd w:id="61"/>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62" w:name="_Toc6179"/>
      <w:bookmarkStart w:id="63" w:name="_Toc62834785"/>
      <w:bookmarkStart w:id="64" w:name="_Toc26114"/>
      <w:r>
        <w:rPr>
          <w:rFonts w:ascii="Times New Roman" w:hAnsi="Times New Roman" w:cs="Times New Roman"/>
          <w:color w:val="000000" w:themeColor="text1"/>
          <w14:textFill>
            <w14:solidFill>
              <w14:schemeClr w14:val="tx1"/>
            </w14:solidFill>
          </w14:textFill>
        </w:rPr>
        <w:t>一、新材料产业</w:t>
      </w:r>
      <w:bookmarkEnd w:id="62"/>
      <w:bookmarkEnd w:id="63"/>
      <w:bookmarkEnd w:id="64"/>
    </w:p>
    <w:p>
      <w:pPr>
        <w:ind w:firstLine="640" w:firstLineChars="200"/>
        <w:rPr>
          <w:rFonts w:ascii="Times New Roman" w:hAnsi="Times New Roman" w:eastAsia="楷体_GB2312" w:cs="Times New Roman"/>
          <w:color w:val="000000" w:themeColor="text1"/>
          <w14:textFill>
            <w14:solidFill>
              <w14:schemeClr w14:val="tx1"/>
            </w14:solidFill>
          </w14:textFill>
        </w:rPr>
      </w:pPr>
      <w:bookmarkStart w:id="65" w:name="_Toc62834786"/>
      <w:bookmarkStart w:id="66" w:name="_Toc4055"/>
      <w:r>
        <w:rPr>
          <w:rFonts w:ascii="Times New Roman" w:hAnsi="Times New Roman" w:eastAsia="楷体_GB2312" w:cs="Times New Roman"/>
          <w:color w:val="000000" w:themeColor="text1"/>
          <w14:textFill>
            <w14:solidFill>
              <w14:schemeClr w14:val="tx1"/>
            </w14:solidFill>
          </w14:textFill>
        </w:rPr>
        <w:t>（一）发展基础</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我市能源、耐火原料资源丰富，为发展光热新材料、耐火新材料、5G应用新材料产业提供了基本的原料来源，</w:t>
      </w:r>
      <w:r>
        <w:rPr>
          <w:rFonts w:ascii="Times New Roman" w:hAnsi="Times New Roman" w:eastAsia="仿宋_GB2312" w:cs="Times New Roman"/>
          <w:bCs/>
          <w:color w:val="000000" w:themeColor="text1"/>
          <w14:textFill>
            <w14:solidFill>
              <w14:schemeClr w14:val="tx1"/>
            </w14:solidFill>
          </w14:textFill>
        </w:rPr>
        <w:t>产业基础优势明显，产业链条完整。</w:t>
      </w:r>
      <w:r>
        <w:rPr>
          <w:rFonts w:ascii="Times New Roman" w:hAnsi="Times New Roman" w:eastAsia="仿宋_GB2312" w:cs="Times New Roman"/>
          <w:color w:val="000000" w:themeColor="text1"/>
          <w14:textFill>
            <w14:solidFill>
              <w14:schemeClr w14:val="tx1"/>
            </w14:solidFill>
          </w14:textFill>
        </w:rPr>
        <w:t>濮耐是目前国内主要的功能耐火材料、不定形耐火材料生产企业之一，是国内最大的钢铁行业用耐火材料制品供应商，钢铁炉外精炼透气砖国内市场份额第一，耐火材料高新技术产品的技术水平、研发、制造和整体配套能力居国内领先地位。濮阳惠成是国内规模最大、种类最全的电子电气封装材料生产基地，世界第二大LED、OLED封装材料供应商。迈奇化学聚焦电子化学品和化工新材料的开发与应用，产品广泛应用于锂离子电池、电动汽车动力电池、导电剂等新能源行业和LCD液晶材料、集成电路等电子行业多个领域。中建材超白光热玻璃项目已经点火，濮耐新型耐高温材料生产项目将即将建成投产。我市新材料产业基础扎实、底蕴深厚。</w:t>
      </w:r>
    </w:p>
    <w:p>
      <w:pPr>
        <w:pStyle w:val="2"/>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（二）发展思路</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围绕光热新材料、耐火新材料、5G应用新材料等领域，布局建设一批产业创新中心，定向招引一批龙头企业。依托中建材等企业技术优势，壮大光热新材料生产规模，推动新材料与新能源产业无缝链接。依托新和、鲁蒙等企业壮大中硼硅药用玻管的产业规模，组建药玻集团，打造全国重要的中硼硅玻璃生产基地。支持濮耐股份壮大产品规模，提升产品标准，培育耐火新材料竞争新优势。依托基础化工产品优势，积极发展新材料产业。</w:t>
      </w:r>
    </w:p>
    <w:p>
      <w:pPr>
        <w:pStyle w:val="2"/>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（三）发展目标</w:t>
      </w:r>
      <w:bookmarkStart w:id="67" w:name="_Toc20529"/>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到2025年，新材料产业</w:t>
      </w:r>
      <w:bookmarkEnd w:id="67"/>
      <w:bookmarkStart w:id="68" w:name="_Toc17671"/>
      <w:r>
        <w:rPr>
          <w:rFonts w:ascii="Times New Roman" w:hAnsi="Times New Roman" w:eastAsia="仿宋_GB2312" w:cs="Times New Roman"/>
          <w:color w:val="000000" w:themeColor="text1"/>
          <w14:textFill>
            <w14:solidFill>
              <w14:schemeClr w14:val="tx1"/>
            </w14:solidFill>
          </w14:textFill>
        </w:rPr>
        <w:t>形成</w:t>
      </w:r>
      <w:r>
        <w:rPr>
          <w:rFonts w:hint="eastAsia" w:ascii="Times New Roman" w:hAnsi="Times New Roman" w:eastAsia="仿宋_GB2312" w:cs="Times New Roman"/>
          <w:color w:val="000000" w:themeColor="text1"/>
          <w14:textFill>
            <w14:solidFill>
              <w14:schemeClr w14:val="tx1"/>
            </w14:solidFill>
          </w14:textFill>
        </w:rPr>
        <w:t>10</w:t>
      </w:r>
      <w:r>
        <w:rPr>
          <w:rFonts w:ascii="Times New Roman" w:hAnsi="Times New Roman" w:eastAsia="仿宋_GB2312" w:cs="Times New Roman"/>
          <w:color w:val="000000" w:themeColor="text1"/>
          <w14:textFill>
            <w14:solidFill>
              <w14:schemeClr w14:val="tx1"/>
            </w14:solidFill>
          </w14:textFill>
        </w:rPr>
        <w:t>00亿级产业集群，2家100亿元企业，规模以上企业达到30家，打造</w:t>
      </w:r>
      <w:r>
        <w:rPr>
          <w:rFonts w:hint="eastAsia" w:ascii="Times New Roman" w:hAnsi="Times New Roman" w:eastAsia="仿宋_GB2312" w:cs="Times New Roman"/>
          <w:color w:val="000000" w:themeColor="text1"/>
          <w14:textFill>
            <w14:solidFill>
              <w14:schemeClr w14:val="tx1"/>
            </w14:solidFill>
          </w14:textFill>
        </w:rPr>
        <w:t>国内一流新材料产业基地</w:t>
      </w:r>
      <w:r>
        <w:rPr>
          <w:rFonts w:ascii="Times New Roman" w:hAnsi="Times New Roman" w:eastAsia="仿宋_GB2312" w:cs="Times New Roman"/>
          <w:color w:val="000000" w:themeColor="text1"/>
          <w14:textFill>
            <w14:solidFill>
              <w14:schemeClr w14:val="tx1"/>
            </w14:solidFill>
          </w14:textFill>
        </w:rPr>
        <w:t>。</w:t>
      </w:r>
      <w:bookmarkEnd w:id="68"/>
    </w:p>
    <w:p>
      <w:pPr>
        <w:pStyle w:val="2"/>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（四）重点任务</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w:t>
      </w:r>
      <w:r>
        <w:rPr>
          <w:rFonts w:hint="eastAsia" w:ascii="Times New Roman" w:hAnsi="Times New Roman" w:cs="Times New Roman"/>
          <w:b/>
          <w:bCs/>
          <w:color w:val="000000" w:themeColor="text1"/>
          <w14:textFill>
            <w14:solidFill>
              <w14:schemeClr w14:val="tx1"/>
            </w14:solidFill>
          </w14:textFill>
        </w:rPr>
        <w:t>拓展</w:t>
      </w:r>
      <w:r>
        <w:rPr>
          <w:rFonts w:ascii="Times New Roman" w:hAnsi="Times New Roman" w:cs="Times New Roman"/>
          <w:b/>
          <w:bCs/>
          <w:color w:val="000000" w:themeColor="text1"/>
          <w14:textFill>
            <w14:solidFill>
              <w14:schemeClr w14:val="tx1"/>
            </w14:solidFill>
          </w14:textFill>
        </w:rPr>
        <w:t>电子新材料</w:t>
      </w:r>
      <w:r>
        <w:rPr>
          <w:rFonts w:hint="eastAsia" w:ascii="Times New Roman" w:hAnsi="Times New Roman" w:cs="Times New Roman"/>
          <w:b/>
          <w:bCs/>
          <w:color w:val="000000" w:themeColor="text1"/>
          <w14:textFill>
            <w14:solidFill>
              <w14:schemeClr w14:val="tx1"/>
            </w14:solidFill>
          </w14:textFill>
        </w:rPr>
        <w:t>产业链条</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依托濮阳县光电子产业、经开区电子化学品产业基础，重点在集成电路、电子基础材料、电子专用设备等方面取得突破，培育新兴的电子信息制造产业集群。集成电路方面，引进消费电子、新型显示及相关配套企业，发展安全、数字音视频等方面的集成电路制造，引入闪存生产线和系统级、晶圆级等先进封装技术，培育亿秒电子等专精特新企业发展壮大。电子基础材料方面，以光电子材料、电子封装材料等为重点，引导濮阳惠成向电子材料领域拓展，提高关键装备及零部件的保障和支撑能力。电子专用设备方面，推动迈奇化学深化电子级高纯化学品试剂在半导体分立器件、集成电路、平面显示器等行业的应用；支持天能集团向锂离子电池领域拓展。</w:t>
      </w:r>
    </w:p>
    <w:p>
      <w:pPr>
        <w:pStyle w:val="2"/>
        <w:ind w:firstLine="643"/>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2.</w:t>
      </w:r>
      <w:r>
        <w:rPr>
          <w:rFonts w:hint="eastAsia" w:ascii="Times New Roman" w:hAnsi="Times New Roman" w:eastAsia="仿宋_GB2312" w:cs="Times New Roman"/>
          <w:b/>
          <w:bCs/>
          <w:color w:val="000000" w:themeColor="text1"/>
          <w14:textFill>
            <w14:solidFill>
              <w14:schemeClr w14:val="tx1"/>
            </w14:solidFill>
          </w14:textFill>
        </w:rPr>
        <w:t>扩大</w:t>
      </w:r>
      <w:r>
        <w:rPr>
          <w:rFonts w:ascii="Times New Roman" w:hAnsi="Times New Roman" w:eastAsia="仿宋_GB2312" w:cs="Times New Roman"/>
          <w:b/>
          <w:bCs/>
          <w:color w:val="000000" w:themeColor="text1"/>
          <w14:textFill>
            <w14:solidFill>
              <w14:schemeClr w14:val="tx1"/>
            </w14:solidFill>
          </w14:textFill>
        </w:rPr>
        <w:t>新型玻璃材料</w:t>
      </w:r>
      <w:r>
        <w:rPr>
          <w:rFonts w:hint="eastAsia" w:ascii="Times New Roman" w:hAnsi="Times New Roman" w:eastAsia="仿宋_GB2312" w:cs="Times New Roman"/>
          <w:b/>
          <w:bCs/>
          <w:color w:val="000000" w:themeColor="text1"/>
          <w14:textFill>
            <w14:solidFill>
              <w14:schemeClr w14:val="tx1"/>
            </w14:solidFill>
          </w14:textFill>
        </w:rPr>
        <w:t>市场竞争力</w:t>
      </w:r>
      <w:r>
        <w:rPr>
          <w:rFonts w:ascii="Times New Roman" w:hAnsi="Times New Roman" w:eastAsia="仿宋_GB2312" w:cs="Times New Roman"/>
          <w:b/>
          <w:bCs/>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依托中建材、新和实业等企业，加快新技术应用和新产品开发，丰富产品结构，发展超白光热玻璃、氧化铟锡导电玻璃等光电材料，突破中硼硅玻璃管制工艺，壮大产业规模，打造全国重要的高端光电玻璃及中硼硅玻璃生产基地。</w:t>
      </w:r>
    </w:p>
    <w:p>
      <w:pPr>
        <w:pStyle w:val="2"/>
        <w:ind w:firstLine="643"/>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3.</w:t>
      </w:r>
      <w:r>
        <w:rPr>
          <w:rFonts w:hint="eastAsia" w:ascii="Times New Roman" w:hAnsi="Times New Roman" w:eastAsia="仿宋_GB2312" w:cs="Times New Roman"/>
          <w:b/>
          <w:bCs/>
          <w:color w:val="000000" w:themeColor="text1"/>
          <w14:textFill>
            <w14:solidFill>
              <w14:schemeClr w14:val="tx1"/>
            </w14:solidFill>
          </w14:textFill>
        </w:rPr>
        <w:t>打造</w:t>
      </w:r>
      <w:r>
        <w:rPr>
          <w:rFonts w:ascii="Times New Roman" w:hAnsi="Times New Roman" w:eastAsia="仿宋_GB2312" w:cs="Times New Roman"/>
          <w:b/>
          <w:bCs/>
          <w:color w:val="000000" w:themeColor="text1"/>
          <w14:textFill>
            <w14:solidFill>
              <w14:schemeClr w14:val="tx1"/>
            </w14:solidFill>
          </w14:textFill>
        </w:rPr>
        <w:t>新型耐火材料</w:t>
      </w:r>
      <w:r>
        <w:rPr>
          <w:rFonts w:hint="eastAsia" w:ascii="Times New Roman" w:hAnsi="Times New Roman" w:eastAsia="仿宋_GB2312" w:cs="Times New Roman"/>
          <w:b/>
          <w:bCs/>
          <w:color w:val="000000" w:themeColor="text1"/>
          <w14:textFill>
            <w14:solidFill>
              <w14:schemeClr w14:val="tx1"/>
            </w14:solidFill>
          </w14:textFill>
        </w:rPr>
        <w:t>领军企业</w:t>
      </w:r>
      <w:r>
        <w:rPr>
          <w:rFonts w:ascii="Times New Roman" w:hAnsi="Times New Roman" w:eastAsia="仿宋_GB2312" w:cs="Times New Roman"/>
          <w:b/>
          <w:bCs/>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依托濮耐股份发展优质、节能、环保新型耐火材料，加大耐火材料新技术、新产品的开发和推广应用，提升耐火材料的装备水平、产品标准，推动价值链纵向延伸、横向整合，建成以高科技为基础、以耐火材料为主业的跨国集团，打造全国行业内的领军企业，进入全球行业第一方阵。</w:t>
      </w:r>
    </w:p>
    <w:p>
      <w:pPr>
        <w:pStyle w:val="2"/>
        <w:ind w:firstLine="643"/>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b/>
          <w:color w:val="000000" w:themeColor="text1"/>
          <w14:textFill>
            <w14:solidFill>
              <w14:schemeClr w14:val="tx1"/>
            </w14:solidFill>
          </w14:textFill>
        </w:rPr>
        <w:t>4.</w:t>
      </w:r>
      <w:r>
        <w:rPr>
          <w:rFonts w:hint="eastAsia" w:ascii="Times New Roman" w:hAnsi="Times New Roman" w:eastAsia="仿宋_GB2312" w:cs="Times New Roman"/>
          <w:b/>
          <w:color w:val="000000" w:themeColor="text1"/>
          <w14:textFill>
            <w14:solidFill>
              <w14:schemeClr w14:val="tx1"/>
            </w14:solidFill>
          </w14:textFill>
        </w:rPr>
        <w:t>推进</w:t>
      </w:r>
      <w:r>
        <w:rPr>
          <w:rFonts w:ascii="Times New Roman" w:hAnsi="Times New Roman" w:eastAsia="仿宋_GB2312" w:cs="Times New Roman"/>
          <w:b/>
          <w:color w:val="000000" w:themeColor="text1"/>
          <w14:textFill>
            <w14:solidFill>
              <w14:schemeClr w14:val="tx1"/>
            </w14:solidFill>
          </w14:textFill>
        </w:rPr>
        <w:t>涂料</w:t>
      </w:r>
      <w:r>
        <w:rPr>
          <w:rFonts w:hint="eastAsia" w:ascii="Times New Roman" w:hAnsi="Times New Roman" w:eastAsia="仿宋_GB2312" w:cs="Times New Roman"/>
          <w:b/>
          <w:color w:val="000000" w:themeColor="text1"/>
          <w14:textFill>
            <w14:solidFill>
              <w14:schemeClr w14:val="tx1"/>
            </w14:solidFill>
          </w14:textFill>
        </w:rPr>
        <w:t>产业高端化</w:t>
      </w:r>
      <w:r>
        <w:rPr>
          <w:rFonts w:ascii="Times New Roman" w:hAnsi="Times New Roman" w:eastAsia="仿宋_GB2312" w:cs="Times New Roman"/>
          <w:b/>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重点发展高端涂料、OLED液晶制造、电子级环氧封装材料等产品，形成产值超300亿元的功能化学品产业集群。依托三棵树、东方雨虹、展辰、美涂士等现有企业，引进立邦、日涂等涂料行业龙头，围绕中游石化产业链条建设构架，重点布局发展水性环氧涂料、水性丙烯酸涂料、水性聚氨酯涂料等产品，打造涂料种类丰富、全国重要的绿色涂料产业园。</w:t>
      </w:r>
    </w:p>
    <w:tbl>
      <w:tblPr>
        <w:tblStyle w:val="14"/>
        <w:tblW w:w="888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8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888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Times New Roman" w:hAnsi="Times New Roman" w:cs="Times New Roman"/>
                <w:color w:val="000000" w:themeColor="text1"/>
                <w:kern w:val="0"/>
                <w:sz w:val="24"/>
                <w:szCs w:val="24"/>
                <w14:textFill>
                  <w14:solidFill>
                    <w14:schemeClr w14:val="tx1"/>
                  </w14:solidFill>
                </w14:textFill>
              </w:rPr>
            </w:pPr>
            <w:bookmarkStart w:id="69" w:name="_Hlk46445889"/>
            <w:r>
              <w:rPr>
                <w:rFonts w:ascii="Times New Roman" w:hAnsi="Times New Roman" w:cs="Times New Roman"/>
                <w:color w:val="000000" w:themeColor="text1"/>
                <w:kern w:val="0"/>
                <w:sz w:val="24"/>
                <w:szCs w:val="24"/>
                <w14:textFill>
                  <w14:solidFill>
                    <w14:schemeClr w14:val="tx1"/>
                  </w14:solidFill>
                </w14:textFill>
              </w:rPr>
              <w:t>专栏9  新材料重点规划建设项目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88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14:textFill>
                  <w14:solidFill>
                    <w14:schemeClr w14:val="tx1"/>
                  </w14:solidFill>
                </w14:textFill>
              </w:rPr>
              <w:t>高端胶黏剂：</w:t>
            </w:r>
            <w:r>
              <w:rPr>
                <w:rFonts w:ascii="Times New Roman" w:hAnsi="Times New Roman" w:cs="Times New Roman"/>
                <w:color w:val="000000" w:themeColor="text1"/>
                <w:kern w:val="0"/>
                <w:sz w:val="24"/>
                <w:szCs w:val="24"/>
                <w14:textFill>
                  <w14:solidFill>
                    <w14:schemeClr w14:val="tx1"/>
                  </w14:solidFill>
                </w14:textFill>
              </w:rPr>
              <w:t>发挥班德路化工等企业带动示范作用，以市场需求为导向，依托上游C5/C9资源以及开发出来的有机中间体，积极布局汽车用高端胶黏剂产业。重点发展汽车风挡玻璃用聚氨酯密封胶、汽车用有机硅密封胶、聚乙烯醇缩丁醛PVB车用胶黏剂和汽车PVC塑溶胶。</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14:textFill>
                  <w14:solidFill>
                    <w14:schemeClr w14:val="tx1"/>
                  </w14:solidFill>
                </w14:textFill>
              </w:rPr>
              <w:t>耐火材料：</w:t>
            </w:r>
            <w:r>
              <w:rPr>
                <w:rFonts w:ascii="Times New Roman" w:hAnsi="Times New Roman" w:cs="Times New Roman"/>
                <w:color w:val="000000" w:themeColor="text1"/>
                <w:kern w:val="0"/>
                <w:sz w:val="24"/>
                <w:szCs w:val="24"/>
                <w14:textFill>
                  <w14:solidFill>
                    <w14:schemeClr w14:val="tx1"/>
                  </w14:solidFill>
                </w14:textFill>
              </w:rPr>
              <w:t>依托蔚林酚醛树脂产能，提升濮耐耐火材料在国内市场的占有率，大力发展优质、节能、环保的新型绿色耐火材料，提升耐火材料的技术含量和装备水平。</w:t>
            </w:r>
          </w:p>
          <w:p>
            <w:pPr>
              <w:widowControl/>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14:textFill>
                  <w14:solidFill>
                    <w14:schemeClr w14:val="tx1"/>
                  </w14:solidFill>
                </w14:textFill>
              </w:rPr>
              <w:t>工程塑料：</w:t>
            </w:r>
            <w:r>
              <w:rPr>
                <w:rFonts w:ascii="Times New Roman" w:hAnsi="Times New Roman" w:cs="Times New Roman"/>
                <w:color w:val="000000" w:themeColor="text1"/>
                <w:kern w:val="0"/>
                <w:sz w:val="24"/>
                <w:szCs w:val="24"/>
                <w14:textFill>
                  <w14:solidFill>
                    <w14:schemeClr w14:val="tx1"/>
                  </w14:solidFill>
                </w14:textFill>
              </w:rPr>
              <w:t>依托濮阳市苯、苯乙烯，碳酸二甲酯、甲基丙烯酸甲酯、均苯四甲酸酐等资源，重点发展HIPS(高抗冲聚苯乙烯)、EPS（发泡聚苯乙烯）、聚碳酸酯、聚甲基丙烯酸甲酯，聚酰亚胺等工程塑料，引进下游工程塑料改性及装备制造企业，打造工程塑料注塑产业园，为河南省及周边省市高端医疗器械、汽车装备制造、光学材料、5G装备、航空航天材料等提供原料保障。</w:t>
            </w:r>
          </w:p>
        </w:tc>
      </w:tr>
      <w:bookmarkEnd w:id="69"/>
    </w:tbl>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70" w:name="_Toc17448"/>
      <w:r>
        <w:rPr>
          <w:rFonts w:ascii="Times New Roman" w:hAnsi="Times New Roman" w:cs="Times New Roman"/>
          <w:color w:val="000000" w:themeColor="text1"/>
          <w14:textFill>
            <w14:solidFill>
              <w14:schemeClr w14:val="tx1"/>
            </w14:solidFill>
          </w14:textFill>
        </w:rPr>
        <w:t>二、新能源产业</w:t>
      </w:r>
      <w:bookmarkEnd w:id="65"/>
      <w:bookmarkEnd w:id="66"/>
      <w:bookmarkEnd w:id="70"/>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（一）发展基础</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近年来，我市把加快新能源发展作为打破资源环境制约和促进产业结构调整的突破口，高起点规划、高标准建设、高效率推进，加速形成生物质能、地热能等多种新能源协同发展的新格局，取得了显著成效。围绕新能源综合利用和新能源装备制造，我市以企业为主体、市场为导向，广泛开展合作，为企业来濮发展提供了许多优惠条件，政府和企业携手共同推动新能源产业发展。</w:t>
      </w:r>
    </w:p>
    <w:p>
      <w:pPr>
        <w:pStyle w:val="2"/>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（二）发展思路</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顺应新能源产业发展趋势，以技术创新为引领，加大要素支撑，分类施策，聚力做大做强生物质能、风能等产业，推动我市新能源产业实现高质量发展，建设具有影响力的新能源研发、检验检测和产业发展高地。</w:t>
      </w:r>
    </w:p>
    <w:p>
      <w:pPr>
        <w:pStyle w:val="2"/>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（三）发展目标</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到2025年，形成</w:t>
      </w:r>
      <w:r>
        <w:rPr>
          <w:rFonts w:hint="eastAsia" w:ascii="Times New Roman" w:hAnsi="Times New Roman" w:eastAsia="仿宋_GB2312" w:cs="Times New Roman"/>
          <w:color w:val="000000" w:themeColor="text1"/>
          <w:lang w:val="en-US" w:eastAsia="zh-CN"/>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级新能源产业集群，形成</w:t>
      </w:r>
      <w:r>
        <w:rPr>
          <w:rFonts w:hint="eastAsia" w:ascii="Times New Roman" w:hAnsi="Times New Roman" w:eastAsia="仿宋_GB2312" w:cs="Times New Roman"/>
          <w:color w:val="000000" w:themeColor="text1"/>
          <w:lang w:val="en-US" w:eastAsia="zh-CN"/>
          <w14:textFill>
            <w14:solidFill>
              <w14:schemeClr w14:val="tx1"/>
            </w14:solidFill>
          </w14:textFill>
        </w:rPr>
        <w:t>**</w:t>
      </w:r>
      <w:bookmarkStart w:id="134" w:name="_GoBack"/>
      <w:bookmarkEnd w:id="134"/>
      <w:r>
        <w:rPr>
          <w:rFonts w:ascii="Times New Roman" w:hAnsi="Times New Roman" w:eastAsia="仿宋_GB2312" w:cs="Times New Roman"/>
          <w:color w:val="000000" w:themeColor="text1"/>
          <w14:textFill>
            <w14:solidFill>
              <w14:schemeClr w14:val="tx1"/>
            </w14:solidFill>
          </w14:textFill>
        </w:rPr>
        <w:t>家</w:t>
      </w:r>
      <w:r>
        <w:rPr>
          <w:rFonts w:hint="eastAsia" w:ascii="Times New Roman" w:hAnsi="Times New Roman" w:eastAsia="仿宋_GB2312" w:cs="Times New Roman"/>
          <w:color w:val="000000" w:themeColor="text1"/>
          <w:lang w:val="en-US" w:eastAsia="zh-CN"/>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亿元企业，规模以上企业达到</w:t>
      </w:r>
      <w:r>
        <w:rPr>
          <w:rFonts w:hint="eastAsia" w:ascii="Times New Roman" w:hAnsi="Times New Roman" w:eastAsia="仿宋_GB2312" w:cs="Times New Roman"/>
          <w:color w:val="000000" w:themeColor="text1"/>
          <w:lang w:val="en-US" w:eastAsia="zh-CN"/>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家，建成全国天然气综合利用示范园区。</w:t>
      </w:r>
    </w:p>
    <w:p>
      <w:pPr>
        <w:pStyle w:val="2"/>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（四）重点任务</w:t>
      </w:r>
    </w:p>
    <w:p>
      <w:pPr>
        <w:ind w:firstLine="643"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w:t>
      </w:r>
      <w:r>
        <w:rPr>
          <w:rFonts w:ascii="Times New Roman" w:hAnsi="Times New Roman" w:cs="Times New Roman"/>
          <w:b/>
          <w:bCs/>
          <w:color w:val="000000" w:themeColor="text1"/>
          <w:highlight w:val="none"/>
          <w14:textFill>
            <w14:solidFill>
              <w14:schemeClr w14:val="tx1"/>
            </w14:solidFill>
          </w14:textFill>
        </w:rPr>
        <w:t>优化天然气产业。</w:t>
      </w:r>
      <w:r>
        <w:rPr>
          <w:rFonts w:ascii="Times New Roman" w:hAnsi="Times New Roman" w:cs="Times New Roman"/>
          <w:color w:val="000000" w:themeColor="text1"/>
          <w:highlight w:val="none"/>
          <w14:textFill>
            <w14:solidFill>
              <w14:schemeClr w14:val="tx1"/>
            </w14:solidFill>
          </w14:textFill>
        </w:rPr>
        <w:t>充分发挥国家天然气战略储备库“文23”、“文96”资源优势，打造全国清洁高效能源示范园区；同时在天然气能源利用方面、化工利用方面取得突破性进展，开发天然气利用领域，打造天然气综合利用全产业链，壮大天然气产业整体实力，建成全国天然气综合利用示范园区。</w:t>
      </w:r>
    </w:p>
    <w:p>
      <w:pPr>
        <w:ind w:firstLine="643"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lang w:val="en-US" w:eastAsia="zh-CN"/>
          <w14:textFill>
            <w14:solidFill>
              <w14:schemeClr w14:val="tx1"/>
            </w14:solidFill>
          </w14:textFill>
        </w:rPr>
        <w:t>2</w:t>
      </w:r>
      <w:r>
        <w:rPr>
          <w:rFonts w:ascii="Times New Roman" w:hAnsi="Times New Roman" w:cs="Times New Roman"/>
          <w:b/>
          <w:color w:val="000000" w:themeColor="text1"/>
          <w14:textFill>
            <w14:solidFill>
              <w14:schemeClr w14:val="tx1"/>
            </w14:solidFill>
          </w14:textFill>
        </w:rPr>
        <w:t>.支持发展新能源汽车。</w:t>
      </w:r>
      <w:r>
        <w:rPr>
          <w:rFonts w:ascii="Times New Roman" w:hAnsi="Times New Roman" w:cs="Times New Roman"/>
          <w:color w:val="000000" w:themeColor="text1"/>
          <w14:textFill>
            <w14:solidFill>
              <w14:schemeClr w14:val="tx1"/>
            </w14:solidFill>
          </w14:textFill>
        </w:rPr>
        <w:t>以纯电动、插电式混合动力、氢燃料电池专用汽车为发展的主攻方向，加快建设充电桩、充换电站、加氢站等配套设施，大力引进知名品牌新能源汽车及动力电池生产企业，全力支持中原特车、中原总机等企业开展新能源特种车辆的研发、生产。</w:t>
      </w:r>
    </w:p>
    <w:p>
      <w:pPr>
        <w:ind w:firstLine="643"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color w:val="000000" w:themeColor="text1"/>
          <w:lang w:val="en-US" w:eastAsia="zh-CN"/>
          <w14:textFill>
            <w14:solidFill>
              <w14:schemeClr w14:val="tx1"/>
            </w14:solidFill>
          </w14:textFill>
        </w:rPr>
        <w:t>3</w:t>
      </w:r>
      <w:r>
        <w:rPr>
          <w:rFonts w:ascii="Times New Roman" w:hAnsi="Times New Roman" w:cs="Times New Roman"/>
          <w:b/>
          <w:color w:val="000000" w:themeColor="text1"/>
          <w14:textFill>
            <w14:solidFill>
              <w14:schemeClr w14:val="tx1"/>
            </w14:solidFill>
          </w14:textFill>
        </w:rPr>
        <w:t>.大力发展生物质能源。</w:t>
      </w:r>
      <w:r>
        <w:rPr>
          <w:rFonts w:ascii="Times New Roman" w:hAnsi="Times New Roman" w:cs="Times New Roman"/>
          <w:color w:val="000000" w:themeColor="text1"/>
          <w14:textFill>
            <w14:solidFill>
              <w14:schemeClr w14:val="tx1"/>
            </w14:solidFill>
          </w14:textFill>
        </w:rPr>
        <w:t>发挥我市生物质资源优势，重点推进生物质锅炉（窑炉）、成型燃料、生物发酵等领域关键装备的研发和产业化，形成系列化产品和规模化生产能力，培育一批生物质装备制造、高值化产品开发、综合服务等特色骨干企业，大力扶持巨烽、宏业股份等企业发展壮大。</w:t>
      </w: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71" w:name="_Toc26184"/>
      <w:bookmarkStart w:id="72" w:name="_Toc6819"/>
      <w:bookmarkStart w:id="73" w:name="_Toc62834787"/>
      <w:r>
        <w:rPr>
          <w:rFonts w:ascii="Times New Roman" w:hAnsi="Times New Roman" w:cs="Times New Roman"/>
          <w:color w:val="000000" w:themeColor="text1"/>
          <w14:textFill>
            <w14:solidFill>
              <w14:schemeClr w14:val="tx1"/>
            </w14:solidFill>
          </w14:textFill>
        </w:rPr>
        <w:t>三、节能环保产业</w:t>
      </w:r>
      <w:bookmarkEnd w:id="71"/>
      <w:bookmarkEnd w:id="72"/>
      <w:bookmarkEnd w:id="73"/>
    </w:p>
    <w:p>
      <w:pPr>
        <w:ind w:left="640" w:left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（一）发展基础</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三五”期间，节能环保产业作为我市战略新兴产业已初具规模，形成了节能环保装备制造及技术服务为亮点的特色产业，节能环保技术装备产业不断壮大，主营业务收入在行业的占比正逐年提高，培育出了天地人环保为龙头的节能环保装备制造及技术服务企业。</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（二）发展思路</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突出“装备制造服务化、资源循环利用规模化、绿色建材高端化”的总体思路，着力引领我市重点节能环保装备制造企业向“服务型制造”转变，加快补齐节能环保服务业短板，重点推动资源循环利用产业规模化发展，加快形成产业集聚效应，实现上中下游企业协同发展。</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（三）发展目标</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至2025年，节能环保产业形成100亿级新兴产业集群，资源循环利用率明显提高、工业低碳化水平显著提升。</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（四）重点任务</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w:t>
      </w:r>
      <w:r>
        <w:rPr>
          <w:rFonts w:hint="eastAsia" w:ascii="Times New Roman" w:hAnsi="Times New Roman" w:cs="Times New Roman"/>
          <w:b/>
          <w:bCs/>
          <w:color w:val="000000" w:themeColor="text1"/>
          <w:lang w:val="en-US" w:eastAsia="zh-CN"/>
          <w14:textFill>
            <w14:solidFill>
              <w14:schemeClr w14:val="tx1"/>
            </w14:solidFill>
          </w14:textFill>
        </w:rPr>
        <w:t>提升</w:t>
      </w:r>
      <w:r>
        <w:rPr>
          <w:rFonts w:ascii="Times New Roman" w:hAnsi="Times New Roman" w:cs="Times New Roman"/>
          <w:b/>
          <w:bCs/>
          <w:color w:val="000000" w:themeColor="text1"/>
          <w14:textFill>
            <w14:solidFill>
              <w14:schemeClr w14:val="tx1"/>
            </w14:solidFill>
          </w14:textFill>
        </w:rPr>
        <w:t>节能环保装备</w:t>
      </w:r>
      <w:r>
        <w:rPr>
          <w:rFonts w:hint="eastAsia" w:ascii="Times New Roman" w:hAnsi="Times New Roman" w:cs="Times New Roman"/>
          <w:b/>
          <w:bCs/>
          <w:color w:val="000000" w:themeColor="text1"/>
          <w:lang w:val="en-US" w:eastAsia="zh-CN"/>
          <w14:textFill>
            <w14:solidFill>
              <w14:schemeClr w14:val="tx1"/>
            </w14:solidFill>
          </w14:textFill>
        </w:rPr>
        <w:t>产业规模</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依托东昊、中科润等环保装备制造企业，推动废水、废气处理装备制造产业化发展。依托国诚空气净化设备行业技术优势，辐射带动周边企业发展空气净化装备制造产业，着力培育更多细分行业“隐形冠军”。依托巨烽生物，加快推动高效生物质锅炉、节能散热器等节能装备产业化发展，打造全省重要的节能环保装备生产基地。</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w:t>
      </w:r>
      <w:r>
        <w:rPr>
          <w:rFonts w:hint="eastAsia" w:ascii="Times New Roman" w:hAnsi="Times New Roman" w:cs="Times New Roman"/>
          <w:b/>
          <w:bCs/>
          <w:color w:val="000000" w:themeColor="text1"/>
          <w:lang w:val="en-US" w:eastAsia="zh-CN"/>
          <w14:textFill>
            <w14:solidFill>
              <w14:schemeClr w14:val="tx1"/>
            </w14:solidFill>
          </w14:textFill>
        </w:rPr>
        <w:t>建设</w:t>
      </w:r>
      <w:r>
        <w:rPr>
          <w:rFonts w:ascii="Times New Roman" w:hAnsi="Times New Roman" w:cs="Times New Roman"/>
          <w:b/>
          <w:bCs/>
          <w:color w:val="000000" w:themeColor="text1"/>
          <w14:textFill>
            <w14:solidFill>
              <w14:schemeClr w14:val="tx1"/>
            </w14:solidFill>
          </w14:textFill>
        </w:rPr>
        <w:t>节能环保工程。</w:t>
      </w:r>
      <w:r>
        <w:rPr>
          <w:rFonts w:ascii="Times New Roman" w:hAnsi="Times New Roman" w:cs="Times New Roman"/>
          <w:color w:val="000000" w:themeColor="text1"/>
          <w14:textFill>
            <w14:solidFill>
              <w14:schemeClr w14:val="tx1"/>
            </w14:solidFill>
          </w14:textFill>
        </w:rPr>
        <w:t>依托静脉产业园，着力发展生活垃圾发电、餐厨废弃物资源化利用、污泥资源化利用、工业固废和危废综合利用等产业，实现废弃物处理方式由无害化处置向资源化利用转变。依托宏业生物质能热电联产、德源新能源生物质能热电联产等项目，壮大三废循环利用、农作物秸秆再利用等资源综合利用工程规模，推动生物质废渣、秸秆等废弃物资源化利用。</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3.</w:t>
      </w:r>
      <w:r>
        <w:rPr>
          <w:rFonts w:hint="eastAsia" w:ascii="Times New Roman" w:hAnsi="Times New Roman" w:cs="Times New Roman"/>
          <w:b/>
          <w:bCs/>
          <w:color w:val="000000" w:themeColor="text1"/>
          <w:lang w:val="en-US" w:eastAsia="zh-CN"/>
          <w14:textFill>
            <w14:solidFill>
              <w14:schemeClr w14:val="tx1"/>
            </w14:solidFill>
          </w14:textFill>
        </w:rPr>
        <w:t>配套发展</w:t>
      </w:r>
      <w:r>
        <w:rPr>
          <w:rFonts w:ascii="Times New Roman" w:hAnsi="Times New Roman" w:cs="Times New Roman"/>
          <w:b/>
          <w:bCs/>
          <w:color w:val="000000" w:themeColor="text1"/>
          <w14:textFill>
            <w14:solidFill>
              <w14:schemeClr w14:val="tx1"/>
            </w14:solidFill>
          </w14:textFill>
        </w:rPr>
        <w:t>节能环保服务</w:t>
      </w:r>
      <w:r>
        <w:rPr>
          <w:rFonts w:hint="eastAsia" w:ascii="Times New Roman" w:hAnsi="Times New Roman" w:cs="Times New Roman"/>
          <w:b/>
          <w:bCs/>
          <w:color w:val="000000" w:themeColor="text1"/>
          <w:lang w:val="en-US" w:eastAsia="zh-CN"/>
          <w14:textFill>
            <w14:solidFill>
              <w14:schemeClr w14:val="tx1"/>
            </w14:solidFill>
          </w14:textFill>
        </w:rPr>
        <w:t>产业</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支持天地人环保、锐驰高科向环境服务领域拓展，形成“制造+服务”的产业发展格局。依托科瑞斯环保废矿物油循环综合再利用项目，推动我市危险废物再生循环利用产业发展。依托垚达鑫新型节能环保建材加工项目，推动我市建材产业绿色化、便利化、高端化发展。依托天能集团再生铅项目，做大做强废旧铅酸蓄电池、动力电池全组分回收再利用产业。</w:t>
      </w:r>
    </w:p>
    <w:tbl>
      <w:tblPr>
        <w:tblStyle w:val="14"/>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4" w:type="dxa"/>
            <w:shd w:val="clear" w:color="auto" w:fill="auto"/>
          </w:tcPr>
          <w:p>
            <w:pPr>
              <w:spacing w:line="560" w:lineRule="exact"/>
              <w:jc w:val="center"/>
              <w:rPr>
                <w:rFonts w:ascii="Times New Roman" w:hAnsi="Times New Roman" w:eastAsia="黑体"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专栏10  节能环保产业重点规划建设项目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8784" w:type="dxa"/>
            <w:shd w:val="clear" w:color="auto" w:fill="auto"/>
          </w:tcPr>
          <w:p>
            <w:pPr>
              <w:spacing w:line="560" w:lineRule="exact"/>
              <w:rPr>
                <w:rFonts w:ascii="Times New Roman" w:hAnsi="Times New Roman" w:eastAsia="微软雅黑" w:cs="Times New Roman"/>
                <w:color w:val="000000" w:themeColor="text1"/>
                <w:sz w:val="22"/>
                <w:szCs w:val="22"/>
                <w14:textFill>
                  <w14:solidFill>
                    <w14:schemeClr w14:val="tx1"/>
                  </w14:solidFill>
                </w14:textFill>
              </w:rPr>
            </w:pPr>
            <w:r>
              <w:rPr>
                <w:rFonts w:ascii="Times New Roman" w:hAnsi="Times New Roman" w:cs="Times New Roman"/>
                <w:snapToGrid w:val="0"/>
                <w:color w:val="000000" w:themeColor="text1"/>
                <w:sz w:val="24"/>
                <w:szCs w:val="24"/>
                <w14:textFill>
                  <w14:solidFill>
                    <w14:schemeClr w14:val="tx1"/>
                  </w14:solidFill>
                </w14:textFill>
              </w:rPr>
              <w:t>重点建设濮阳市四家静脉产业园、天能集团年处理25万吨废旧电池循环利用扩建项目（绿色循环与产业园配套项目）、</w:t>
            </w:r>
            <w:r>
              <w:rPr>
                <w:rFonts w:hint="eastAsia" w:ascii="Times New Roman" w:hAnsi="Times New Roman" w:cs="Times New Roman"/>
                <w:snapToGrid w:val="0"/>
                <w:color w:val="000000" w:themeColor="text1"/>
                <w:sz w:val="24"/>
                <w:szCs w:val="24"/>
                <w:lang w:eastAsia="zh-CN"/>
                <w14:textFill>
                  <w14:solidFill>
                    <w14:schemeClr w14:val="tx1"/>
                  </w14:solidFill>
                </w14:textFill>
              </w:rPr>
              <w:t>河南英耐尔门窗科技有限公司新型材料生产项目</w:t>
            </w:r>
            <w:r>
              <w:rPr>
                <w:rFonts w:ascii="Times New Roman" w:hAnsi="Times New Roman" w:cs="Times New Roman"/>
                <w:snapToGrid w:val="0"/>
                <w:color w:val="000000" w:themeColor="text1"/>
                <w:sz w:val="24"/>
                <w:szCs w:val="24"/>
                <w14:textFill>
                  <w14:solidFill>
                    <w14:schemeClr w14:val="tx1"/>
                  </w14:solidFill>
                </w14:textFill>
              </w:rPr>
              <w:t>、</w:t>
            </w:r>
            <w:r>
              <w:rPr>
                <w:rFonts w:ascii="Times New Roman" w:hAnsi="Times New Roman" w:eastAsia="仿宋" w:cs="Times New Roman"/>
                <w:snapToGrid w:val="0"/>
                <w:color w:val="000000" w:themeColor="text1"/>
                <w:sz w:val="24"/>
                <w:szCs w:val="24"/>
                <w14:textFill>
                  <w14:solidFill>
                    <w14:schemeClr w14:val="tx1"/>
                  </w14:solidFill>
                </w14:textFill>
              </w:rPr>
              <w:t>垚</w:t>
            </w:r>
            <w:r>
              <w:rPr>
                <w:rFonts w:ascii="Times New Roman" w:hAnsi="Times New Roman" w:cs="Times New Roman"/>
                <w:snapToGrid w:val="0"/>
                <w:color w:val="000000" w:themeColor="text1"/>
                <w:sz w:val="24"/>
                <w:szCs w:val="24"/>
                <w14:textFill>
                  <w14:solidFill>
                    <w14:schemeClr w14:val="tx1"/>
                  </w14:solidFill>
                </w14:textFill>
              </w:rPr>
              <w:t>达鑫新型建材年产60万立方/蒸压加气混凝土砌块和板材生产线项目等。</w:t>
            </w:r>
          </w:p>
        </w:tc>
      </w:tr>
    </w:tbl>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74" w:name="_Toc62834788"/>
      <w:bookmarkStart w:id="75" w:name="_Toc16186"/>
      <w:bookmarkStart w:id="76" w:name="_Toc23391"/>
      <w:r>
        <w:rPr>
          <w:rFonts w:ascii="Times New Roman" w:hAnsi="Times New Roman" w:cs="Times New Roman"/>
          <w:color w:val="000000" w:themeColor="text1"/>
          <w14:textFill>
            <w14:solidFill>
              <w14:schemeClr w14:val="tx1"/>
            </w14:solidFill>
          </w14:textFill>
        </w:rPr>
        <w:t>四、新一代信息技术</w:t>
      </w:r>
      <w:bookmarkEnd w:id="74"/>
      <w:bookmarkEnd w:id="75"/>
      <w:bookmarkEnd w:id="76"/>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（一）发展基础</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“十三五”末，濮阳在全省率先实现县城以上城区5G网络全覆盖。移动公司云计算中心、联通公司云计算中心、开发区中科曙光云计算中心相继建成。全市建成开通5G基站1622个，5G用户突破59万户，</w:t>
      </w:r>
      <w:r>
        <w:rPr>
          <w:rFonts w:hint="eastAsia" w:ascii="Times New Roman" w:hAnsi="Times New Roman" w:cs="Times New Roman"/>
          <w:color w:val="000000" w:themeColor="text1"/>
          <w:lang w:val="en-US" w:eastAsia="zh-CN"/>
          <w14:textFill>
            <w14:solidFill>
              <w14:schemeClr w14:val="tx1"/>
            </w14:solidFill>
          </w14:textFill>
        </w:rPr>
        <w:t>启动</w:t>
      </w:r>
      <w:r>
        <w:rPr>
          <w:rFonts w:ascii="Times New Roman" w:hAnsi="Times New Roman" w:cs="Times New Roman"/>
          <w:color w:val="000000" w:themeColor="text1"/>
          <w14:textFill>
            <w14:solidFill>
              <w14:schemeClr w14:val="tx1"/>
            </w14:solidFill>
          </w14:textFill>
        </w:rPr>
        <w:t>濮阳市大数据中心</w:t>
      </w:r>
      <w:r>
        <w:rPr>
          <w:rFonts w:hint="eastAsia" w:ascii="Times New Roman" w:hAnsi="Times New Roman" w:cs="Times New Roman"/>
          <w:color w:val="000000" w:themeColor="text1"/>
          <w:lang w:val="en-US" w:eastAsia="zh-CN"/>
          <w14:textFill>
            <w14:solidFill>
              <w14:schemeClr w14:val="tx1"/>
            </w14:solidFill>
          </w14:textFill>
        </w:rPr>
        <w:t>建设</w:t>
      </w:r>
      <w:r>
        <w:rPr>
          <w:rFonts w:ascii="Times New Roman" w:hAnsi="Times New Roman" w:cs="Times New Roman"/>
          <w:color w:val="000000" w:themeColor="text1"/>
          <w14:textFill>
            <w14:solidFill>
              <w14:schemeClr w14:val="tx1"/>
            </w14:solidFill>
          </w14:textFill>
        </w:rPr>
        <w:t>，获得中央资金5000万元支持，新一代信息技术产业发展基础</w:t>
      </w:r>
      <w:r>
        <w:rPr>
          <w:rFonts w:hint="eastAsia" w:ascii="Times New Roman" w:hAnsi="Times New Roman" w:cs="Times New Roman"/>
          <w:color w:val="000000" w:themeColor="text1"/>
          <w:lang w:val="en-US" w:eastAsia="zh-CN"/>
          <w14:textFill>
            <w14:solidFill>
              <w14:schemeClr w14:val="tx1"/>
            </w14:solidFill>
          </w14:textFill>
        </w:rPr>
        <w:t>进一步</w:t>
      </w:r>
      <w:r>
        <w:rPr>
          <w:rFonts w:ascii="Times New Roman" w:hAnsi="Times New Roman" w:cs="Times New Roman"/>
          <w:color w:val="000000" w:themeColor="text1"/>
          <w14:textFill>
            <w14:solidFill>
              <w14:schemeClr w14:val="tx1"/>
            </w14:solidFill>
          </w14:textFill>
        </w:rPr>
        <w:t>夯实。</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（二）发展思路</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以网络建设为基础，以产业发展为根本，以项目落地为目标，以拓展应用为路径，持续加大谋划推进力度，重点发展电子信息制造业、软件业、信息服务业三大领域，推动新一代信息技术在新型城镇化、智能制造、现代农业等领域的推广应用，积极推动5G网络建设和产业发展，大力培育软件和信息技术企业，着力提升信息技术应用水平，着力探索培育数字经济发展新模式，着力营造良好发展环境，为实现数字经济高质量发展奠定坚实基础，加快实现“濮阳制造”向“濮阳智造”的跨越。</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（三）发展目标</w:t>
      </w:r>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到2025年，新一代信息技术产业形成100亿级新兴产业集群，</w:t>
      </w:r>
      <w:r>
        <w:rPr>
          <w:rFonts w:hint="eastAsia" w:ascii="Times New Roman" w:hAnsi="Times New Roman" w:cs="Times New Roman"/>
          <w:color w:val="000000" w:themeColor="text1"/>
          <w:lang w:val="en-US" w:eastAsia="zh-CN"/>
          <w14:textFill>
            <w14:solidFill>
              <w14:schemeClr w14:val="tx1"/>
            </w14:solidFill>
          </w14:textFill>
        </w:rPr>
        <w:t>电子信息</w:t>
      </w:r>
      <w:r>
        <w:rPr>
          <w:rFonts w:ascii="Times New Roman" w:hAnsi="Times New Roman" w:cs="Times New Roman"/>
          <w:color w:val="000000" w:themeColor="text1"/>
          <w14:textFill>
            <w14:solidFill>
              <w14:schemeClr w14:val="tx1"/>
            </w14:solidFill>
          </w14:textFill>
        </w:rPr>
        <w:t>收入过亿企业达20家以上，规模以上企业超30家。</w:t>
      </w:r>
    </w:p>
    <w:p>
      <w:pPr>
        <w:ind w:firstLine="640" w:firstLineChars="200"/>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（四）重点任务</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1.做精电子信息制造业。</w:t>
      </w:r>
      <w:r>
        <w:rPr>
          <w:rFonts w:hint="eastAsia" w:ascii="Times New Roman" w:hAnsi="Times New Roman" w:cs="Times New Roman"/>
          <w:color w:val="000000" w:themeColor="text1"/>
          <w:lang w:val="en-US" w:eastAsia="zh-CN"/>
          <w14:textFill>
            <w14:solidFill>
              <w14:schemeClr w14:val="tx1"/>
            </w14:solidFill>
          </w14:textFill>
        </w:rPr>
        <w:t>推动</w:t>
      </w:r>
      <w:r>
        <w:rPr>
          <w:rFonts w:hint="eastAsia" w:ascii="Times New Roman" w:hAnsi="Times New Roman" w:cs="Times New Roman"/>
          <w:color w:val="000000" w:themeColor="text1"/>
          <w14:textFill>
            <w14:solidFill>
              <w14:schemeClr w14:val="tx1"/>
            </w14:solidFill>
          </w14:textFill>
        </w:rPr>
        <w:t>惠成电子、迈奇化学等</w:t>
      </w:r>
      <w:r>
        <w:rPr>
          <w:rFonts w:ascii="Times New Roman" w:hAnsi="Times New Roman" w:cs="Times New Roman"/>
          <w:color w:val="000000" w:themeColor="text1"/>
          <w14:textFill>
            <w14:solidFill>
              <w14:schemeClr w14:val="tx1"/>
            </w14:solidFill>
          </w14:textFill>
        </w:rPr>
        <w:t>电子专用材料</w:t>
      </w:r>
      <w:r>
        <w:rPr>
          <w:rFonts w:hint="eastAsia" w:ascii="Times New Roman" w:hAnsi="Times New Roman" w:cs="Times New Roman"/>
          <w:color w:val="000000" w:themeColor="text1"/>
          <w14:textFill>
            <w14:solidFill>
              <w14:schemeClr w14:val="tx1"/>
            </w14:solidFill>
          </w14:textFill>
        </w:rPr>
        <w:t>龙头企业加大技术研发力度，加快技术成果转化，壮大电子专用材料、集成电路与封装测试等产业规模</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依托濮阳光电研究院等产业平台，积极布局</w:t>
      </w:r>
      <w:r>
        <w:rPr>
          <w:rFonts w:ascii="Times New Roman" w:hAnsi="Times New Roman" w:cs="Times New Roman"/>
          <w:color w:val="auto"/>
        </w:rPr>
        <w:t>5G终端、物联网与传感器</w:t>
      </w:r>
      <w:r>
        <w:rPr>
          <w:rFonts w:hint="eastAsia" w:ascii="Times New Roman" w:hAnsi="Times New Roman" w:cs="Times New Roman"/>
          <w:color w:val="auto"/>
          <w:lang w:val="en-US" w:eastAsia="zh-CN"/>
        </w:rPr>
        <w:t>制造项目，</w:t>
      </w:r>
      <w:r>
        <w:rPr>
          <w:rFonts w:ascii="Times New Roman" w:hAnsi="Times New Roman" w:cs="Times New Roman"/>
          <w:color w:val="auto"/>
        </w:rPr>
        <w:t>延伸产业链，做大做强</w:t>
      </w:r>
      <w:r>
        <w:rPr>
          <w:rFonts w:hint="eastAsia" w:ascii="Times New Roman" w:hAnsi="Times New Roman" w:cs="Times New Roman"/>
          <w:color w:val="auto"/>
          <w:lang w:val="en-US" w:eastAsia="zh-CN"/>
        </w:rPr>
        <w:t>光电器件产业。</w:t>
      </w:r>
      <w:r>
        <w:rPr>
          <w:rFonts w:ascii="Times New Roman" w:hAnsi="Times New Roman" w:cs="Times New Roman"/>
          <w:color w:val="000000" w:themeColor="text1"/>
          <w14:textFill>
            <w14:solidFill>
              <w14:schemeClr w14:val="tx1"/>
            </w14:solidFill>
          </w14:textFill>
        </w:rPr>
        <w:t>以智能制造为主攻方向，大力发展智能家居、智能安防电子、汽车电子等产品和推广应用。依托德力西、亿秒电子等重点企业，重点突破物联网和智能家居产品的融合，实现远程云管控，发展家居照明控制、电源环境控制、智慧安防等电子产品及解决方案，大力推动智能家居产业快速发展。依托台前县汽车电子产业基础，大力发展汽车电子控制装置和车载汽车电子装备。</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2.做优软件产业。</w:t>
      </w:r>
      <w:r>
        <w:rPr>
          <w:rFonts w:ascii="Times New Roman" w:hAnsi="Times New Roman" w:cs="Times New Roman"/>
          <w:color w:val="000000" w:themeColor="text1"/>
          <w14:textFill>
            <w14:solidFill>
              <w14:schemeClr w14:val="tx1"/>
            </w14:solidFill>
          </w14:textFill>
        </w:rPr>
        <w:t>依托派亚尼尔</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常亭科技</w:t>
      </w:r>
      <w:r>
        <w:rPr>
          <w:rFonts w:ascii="Times New Roman" w:hAnsi="Times New Roman" w:cs="Times New Roman"/>
          <w:color w:val="000000" w:themeColor="text1"/>
          <w14:textFill>
            <w14:solidFill>
              <w14:schemeClr w14:val="tx1"/>
            </w14:solidFill>
          </w14:textFill>
        </w:rPr>
        <w:t>等企业，推动传统软件产业向产品化与平台化转变，进一步提高软件产业向专业化与高端化发展。重点推进应用于锅炉机械、石油装备、汽车电子、智能安防等产品中的嵌入式软件研发，掌握嵌入式系统软件的关键技术，构建包括嵌入式操作系统、开发平台、应用系统、硬件产品等嵌入式系统产业链，建立和完善嵌入式软件公共服务平台，实现重点领域嵌入式系统产品自主化及产业化。以推动“两化融合”为契机，逐步形成工业软件研发、生产、销售和服务一体化，为数字化、智能化、网络化制造提供有力支撑。依托装备制造、食品等产业，提高应用智能监测、图像识别和远程控制等技术的应用，满足高品质产品和服务的需求。</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3.做大信息服务业。</w:t>
      </w:r>
      <w:r>
        <w:rPr>
          <w:rFonts w:ascii="Times New Roman" w:hAnsi="Times New Roman" w:cs="Times New Roman"/>
          <w:color w:val="000000" w:themeColor="text1"/>
          <w14:textFill>
            <w14:solidFill>
              <w14:schemeClr w14:val="tx1"/>
            </w14:solidFill>
          </w14:textFill>
        </w:rPr>
        <w:t>依托大数据智慧生态园、“三创”园区等产业园，集聚一批大数据、云计算、人工智能等领域企业，以服务外包和系统集成服务为重点做优软件服务。围绕各县（区）电子商务产业园，推动电子商务的服务创新、商业模式创新和多层次协同创新，大力发展直播带货、同城团购等特色电子商务产业。着力发展农产品电子商务企业，加强农村互联网基础设施建设，培养农产品电子商务人才，拓展第三方交易市场模式，推进农产品电子商务模式的创新，推动农业信息化快速发展。</w:t>
      </w:r>
      <w:r>
        <w:rPr>
          <w:rFonts w:ascii="Times New Roman" w:hAnsi="Times New Roman" w:cs="Times New Roman"/>
          <w:color w:val="auto"/>
        </w:rPr>
        <w:t>在无人驾驶、智慧医疗、智能安防、制造业等领域，</w:t>
      </w:r>
      <w:r>
        <w:rPr>
          <w:rFonts w:ascii="Times New Roman" w:hAnsi="Times New Roman" w:cs="Times New Roman"/>
          <w:color w:val="auto"/>
          <w:spacing w:val="-6"/>
        </w:rPr>
        <w:t>发展图片标注、语音标注、文本标注、视频标注、道路标注、</w:t>
      </w:r>
      <w:r>
        <w:rPr>
          <w:rFonts w:ascii="Times New Roman" w:hAnsi="Times New Roman" w:cs="Times New Roman"/>
          <w:color w:val="auto"/>
        </w:rPr>
        <w:t>行人标注、图像语义分割等业务，</w:t>
      </w:r>
      <w:r>
        <w:rPr>
          <w:rFonts w:hint="eastAsia" w:ascii="Times New Roman" w:hAnsi="Times New Roman" w:cs="Times New Roman"/>
          <w:color w:val="auto"/>
          <w:lang w:eastAsia="zh-CN"/>
        </w:rPr>
        <w:t>培育形成数据标注产业集群</w:t>
      </w:r>
      <w:r>
        <w:rPr>
          <w:rFonts w:ascii="Times New Roman" w:hAnsi="Times New Roman" w:cs="Times New Roman"/>
          <w:color w:val="auto"/>
        </w:rPr>
        <w:t>。</w:t>
      </w:r>
    </w:p>
    <w:p>
      <w:pPr>
        <w:ind w:firstLine="643" w:firstLineChars="200"/>
        <w:rPr>
          <w:rFonts w:hint="eastAsia" w:ascii="Times New Roman" w:hAnsi="Times New Roman" w:eastAsia="仿宋_GB2312" w:cs="Times New Roman"/>
          <w:color w:val="000000" w:themeColor="text1"/>
          <w:lang w:eastAsia="zh-CN"/>
          <w14:textFill>
            <w14:solidFill>
              <w14:schemeClr w14:val="tx1"/>
            </w14:solidFill>
          </w14:textFill>
        </w:rPr>
      </w:pPr>
      <w:r>
        <w:rPr>
          <w:rFonts w:ascii="Times New Roman" w:hAnsi="Times New Roman" w:cs="Times New Roman"/>
          <w:b/>
          <w:color w:val="000000" w:themeColor="text1"/>
          <w:highlight w:val="none"/>
          <w14:textFill>
            <w14:solidFill>
              <w14:schemeClr w14:val="tx1"/>
            </w14:solidFill>
          </w14:textFill>
        </w:rPr>
        <w:t>4.推进示范应用。</w:t>
      </w:r>
      <w:r>
        <w:rPr>
          <w:rFonts w:ascii="Times New Roman" w:hAnsi="Times New Roman" w:cs="Times New Roman"/>
          <w:color w:val="000000" w:themeColor="text1"/>
          <w:highlight w:val="none"/>
          <w14:textFill>
            <w14:solidFill>
              <w14:schemeClr w14:val="tx1"/>
            </w14:solidFill>
          </w14:textFill>
        </w:rPr>
        <w:t>积极推进</w:t>
      </w:r>
      <w:r>
        <w:rPr>
          <w:rFonts w:ascii="Times New Roman" w:hAnsi="Times New Roman" w:cs="Times New Roman"/>
          <w:color w:val="000000" w:themeColor="text1"/>
          <w14:textFill>
            <w14:solidFill>
              <w14:schemeClr w14:val="tx1"/>
            </w14:solidFill>
          </w14:textFill>
        </w:rPr>
        <w:t>物联网“科研技术+产业化”的发展模式，依托普天信息等重点企业，推动物联网关键技术研发，以及在市政、工业、环保等重点领域的示范应用。以物联网应用产业为基础，带动传感器、智能辨识、短距无线通信、物联网检测认证等相关产业同步发展，发挥产业集群效应。以大数据智慧生态产业园为产业化发展平台，依托中国电子商会资源，培育、招引一批拥有核心知识产权、应用前景广阔的数据产业产品与大数据服务平台，建成全省大数据产业发展示范园区。以京东新一代人工智能开放创新平台濮阳分中心为依托，孵化培育一批在智能算法、管理研判等领域具有核心知识产权、应用成效明显的人工智能企业及产品。</w:t>
      </w:r>
    </w:p>
    <w:tbl>
      <w:tblPr>
        <w:tblStyle w:val="14"/>
        <w:tblpPr w:leftFromText="180" w:rightFromText="180" w:vertAnchor="text" w:horzAnchor="page" w:tblpX="1633" w:tblpY="366"/>
        <w:tblOverlap w:val="never"/>
        <w:tblW w:w="870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7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0"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专栏11  新一代信息技术重点规划建设项目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6" w:hRule="atLeast"/>
          <w:jc w:val="center"/>
        </w:trPr>
        <w:tc>
          <w:tcPr>
            <w:tcW w:w="870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b/>
                <w:bCs/>
                <w:color w:val="000000" w:themeColor="text1"/>
                <w:kern w:val="0"/>
                <w:sz w:val="24"/>
                <w:szCs w:val="24"/>
                <w:lang w:val="en-US" w:eastAsia="zh-CN"/>
                <w14:textFill>
                  <w14:solidFill>
                    <w14:schemeClr w14:val="tx1"/>
                  </w14:solidFill>
                </w14:textFill>
              </w:rPr>
              <w:t>5G科研实验园</w:t>
            </w:r>
            <w:r>
              <w:rPr>
                <w:rFonts w:ascii="Times New Roman" w:hAnsi="Times New Roman" w:cs="Times New Roman"/>
                <w:b/>
                <w:bCs/>
                <w:color w:val="000000" w:themeColor="text1"/>
                <w:kern w:val="0"/>
                <w:sz w:val="24"/>
                <w:szCs w:val="24"/>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项目</w:t>
            </w:r>
            <w:r>
              <w:rPr>
                <w:rFonts w:ascii="Times New Roman" w:hAnsi="Times New Roman" w:cs="Times New Roman"/>
                <w:color w:val="000000" w:themeColor="text1"/>
                <w:kern w:val="0"/>
                <w:sz w:val="24"/>
                <w:szCs w:val="24"/>
                <w:lang w:eastAsia="zh-CN"/>
                <w14:textFill>
                  <w14:solidFill>
                    <w14:schemeClr w14:val="tx1"/>
                  </w14:solidFill>
                </w14:textFill>
              </w:rPr>
              <w:t>概算</w:t>
            </w:r>
            <w:r>
              <w:rPr>
                <w:rFonts w:ascii="Times New Roman" w:hAnsi="Times New Roman" w:cs="Times New Roman"/>
                <w:color w:val="000000" w:themeColor="text1"/>
                <w:kern w:val="0"/>
                <w:sz w:val="24"/>
                <w:szCs w:val="24"/>
                <w14:textFill>
                  <w14:solidFill>
                    <w14:schemeClr w14:val="tx1"/>
                  </w14:solidFill>
                </w14:textFill>
              </w:rPr>
              <w:t>总投资</w:t>
            </w:r>
            <w:r>
              <w:rPr>
                <w:rFonts w:ascii="Times New Roman" w:hAnsi="Times New Roman" w:cs="Times New Roman"/>
                <w:color w:val="000000" w:themeColor="text1"/>
                <w:kern w:val="0"/>
                <w:sz w:val="24"/>
                <w:szCs w:val="24"/>
                <w:lang w:eastAsia="zh-CN"/>
                <w14:textFill>
                  <w14:solidFill>
                    <w14:schemeClr w14:val="tx1"/>
                  </w14:solidFill>
                </w14:textFill>
              </w:rPr>
              <w:t>约</w:t>
            </w:r>
            <w:r>
              <w:rPr>
                <w:rFonts w:ascii="Times New Roman" w:hAnsi="Times New Roman" w:cs="Times New Roman"/>
                <w:color w:val="000000" w:themeColor="text1"/>
                <w:kern w:val="0"/>
                <w:sz w:val="24"/>
                <w:szCs w:val="24"/>
                <w14:textFill>
                  <w14:solidFill>
                    <w14:schemeClr w14:val="tx1"/>
                  </w14:solidFill>
                </w14:textFill>
              </w:rPr>
              <w:t>14</w:t>
            </w:r>
            <w:r>
              <w:rPr>
                <w:rFonts w:ascii="Times New Roman" w:hAnsi="Times New Roman" w:cs="Times New Roman"/>
                <w:color w:val="000000" w:themeColor="text1"/>
                <w:kern w:val="0"/>
                <w:sz w:val="24"/>
                <w:szCs w:val="24"/>
                <w:lang w:eastAsia="zh-CN"/>
                <w14:textFill>
                  <w14:solidFill>
                    <w14:schemeClr w14:val="tx1"/>
                  </w14:solidFill>
                </w14:textFill>
              </w:rPr>
              <w:t>亿</w:t>
            </w:r>
            <w:r>
              <w:rPr>
                <w:rFonts w:ascii="Times New Roman" w:hAnsi="Times New Roman" w:cs="Times New Roman"/>
                <w:color w:val="000000" w:themeColor="text1"/>
                <w:kern w:val="0"/>
                <w:sz w:val="24"/>
                <w:szCs w:val="24"/>
                <w14:textFill>
                  <w14:solidFill>
                    <w14:schemeClr w14:val="tx1"/>
                  </w14:solidFill>
                </w14:textFill>
              </w:rPr>
              <w:t>元，总占地面积</w:t>
            </w:r>
            <w:r>
              <w:rPr>
                <w:rFonts w:ascii="Times New Roman" w:hAnsi="Times New Roman" w:cs="Times New Roman"/>
                <w:color w:val="000000" w:themeColor="text1"/>
                <w:kern w:val="0"/>
                <w:sz w:val="24"/>
                <w:szCs w:val="24"/>
                <w:lang w:eastAsia="zh-CN"/>
                <w14:textFill>
                  <w14:solidFill>
                    <w14:schemeClr w14:val="tx1"/>
                  </w14:solidFill>
                </w14:textFill>
              </w:rPr>
              <w:t>约</w:t>
            </w:r>
            <w:r>
              <w:rPr>
                <w:rFonts w:ascii="Times New Roman" w:hAnsi="Times New Roman" w:cs="Times New Roman"/>
                <w:color w:val="000000" w:themeColor="text1"/>
                <w:kern w:val="0"/>
                <w:sz w:val="24"/>
                <w:szCs w:val="24"/>
                <w14:textFill>
                  <w14:solidFill>
                    <w14:schemeClr w14:val="tx1"/>
                  </w14:solidFill>
                </w14:textFill>
              </w:rPr>
              <w:t>416</w:t>
            </w:r>
            <w:r>
              <w:rPr>
                <w:rFonts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亩</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主要建设</w:t>
            </w:r>
            <w:r>
              <w:rPr>
                <w:rFonts w:ascii="Times New Roman" w:hAnsi="Times New Roman" w:cs="Times New Roman"/>
                <w:color w:val="000000" w:themeColor="text1"/>
                <w:kern w:val="0"/>
                <w:sz w:val="24"/>
                <w:szCs w:val="24"/>
                <w14:textFill>
                  <w14:solidFill>
                    <w14:schemeClr w14:val="tx1"/>
                  </w14:solidFill>
                </w14:textFill>
              </w:rPr>
              <w:t>技术研究中心</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技术应用中心</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应用体验中心</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工业互联网及平台</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园区标准化厂房</w:t>
            </w:r>
            <w:r>
              <w:rPr>
                <w:rFonts w:hint="eastAsia" w:ascii="Times New Roman" w:hAnsi="Times New Roman" w:cs="Times New Roman"/>
                <w:color w:val="000000" w:themeColor="text1"/>
                <w:kern w:val="0"/>
                <w:sz w:val="24"/>
                <w:szCs w:val="24"/>
                <w:lang w:eastAsia="zh-CN"/>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5G</w:t>
            </w:r>
            <w:r>
              <w:rPr>
                <w:rFonts w:hint="eastAsia" w:ascii="Times New Roman" w:hAnsi="Times New Roman" w:cs="Times New Roman"/>
                <w:color w:val="000000" w:themeColor="text1"/>
                <w:kern w:val="0"/>
                <w:sz w:val="24"/>
                <w:szCs w:val="24"/>
                <w:lang w:val="en-US" w:eastAsia="zh-CN"/>
                <w14:textFill>
                  <w14:solidFill>
                    <w14:schemeClr w14:val="tx1"/>
                  </w14:solidFill>
                </w14:textFill>
              </w:rPr>
              <w:t>基础</w:t>
            </w:r>
            <w:r>
              <w:rPr>
                <w:rFonts w:ascii="Times New Roman" w:hAnsi="Times New Roman" w:cs="Times New Roman"/>
                <w:color w:val="000000" w:themeColor="text1"/>
                <w:kern w:val="0"/>
                <w:sz w:val="24"/>
                <w:szCs w:val="24"/>
                <w14:textFill>
                  <w14:solidFill>
                    <w14:schemeClr w14:val="tx1"/>
                  </w14:solidFill>
                </w14:textFill>
              </w:rPr>
              <w:t>设备</w:t>
            </w:r>
            <w:r>
              <w:rPr>
                <w:rFonts w:hint="eastAsia" w:ascii="Times New Roman" w:hAnsi="Times New Roman" w:cs="Times New Roman"/>
                <w:color w:val="000000" w:themeColor="text1"/>
                <w:kern w:val="0"/>
                <w:sz w:val="24"/>
                <w:szCs w:val="24"/>
                <w:lang w:val="en-US" w:eastAsia="zh-CN"/>
                <w14:textFill>
                  <w14:solidFill>
                    <w14:schemeClr w14:val="tx1"/>
                  </w14:solidFill>
                </w14:textFill>
              </w:rPr>
              <w:t>等</w:t>
            </w:r>
            <w:r>
              <w:rPr>
                <w:rFonts w:ascii="Times New Roman" w:hAnsi="Times New Roman" w:cs="Times New Roman"/>
                <w:color w:val="000000" w:themeColor="text1"/>
                <w:kern w:val="0"/>
                <w:sz w:val="24"/>
                <w:szCs w:val="24"/>
                <w14:textFill>
                  <w14:solidFill>
                    <w14:schemeClr w14:val="tx1"/>
                  </w14:solidFill>
                </w14:textFill>
              </w:rPr>
              <w:t>。</w:t>
            </w:r>
          </w:p>
          <w:p>
            <w:pPr>
              <w:widowControl/>
              <w:spacing w:line="560" w:lineRule="exact"/>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b/>
                <w:bCs/>
                <w:color w:val="000000" w:themeColor="text1"/>
                <w:kern w:val="0"/>
                <w:sz w:val="24"/>
                <w:szCs w:val="24"/>
                <w:lang w:val="en-US" w:eastAsia="zh-CN"/>
                <w14:textFill>
                  <w14:solidFill>
                    <w14:schemeClr w14:val="tx1"/>
                  </w14:solidFill>
                </w14:textFill>
              </w:rPr>
              <w:t>市</w:t>
            </w:r>
            <w:r>
              <w:rPr>
                <w:rFonts w:ascii="Times New Roman" w:hAnsi="Times New Roman" w:cs="Times New Roman"/>
                <w:b/>
                <w:bCs/>
                <w:color w:val="000000" w:themeColor="text1"/>
                <w:kern w:val="0"/>
                <w:sz w:val="24"/>
                <w:szCs w:val="24"/>
                <w14:textFill>
                  <w14:solidFill>
                    <w14:schemeClr w14:val="tx1"/>
                  </w14:solidFill>
                </w14:textFill>
              </w:rPr>
              <w:t>大数据中心项目。</w:t>
            </w:r>
            <w:r>
              <w:rPr>
                <w:rFonts w:ascii="Times New Roman" w:hAnsi="Times New Roman" w:cs="Times New Roman"/>
                <w:color w:val="000000" w:themeColor="text1"/>
                <w:kern w:val="0"/>
                <w:sz w:val="24"/>
                <w:szCs w:val="24"/>
                <w14:textFill>
                  <w14:solidFill>
                    <w14:schemeClr w14:val="tx1"/>
                  </w14:solidFill>
                </w14:textFill>
              </w:rPr>
              <w:t>预算投资</w:t>
            </w:r>
            <w:r>
              <w:rPr>
                <w:rFonts w:hint="eastAsia" w:ascii="Times New Roman" w:hAnsi="Times New Roman" w:cs="Times New Roman"/>
                <w:color w:val="000000" w:themeColor="text1"/>
                <w:kern w:val="0"/>
                <w:sz w:val="24"/>
                <w:szCs w:val="24"/>
                <w:lang w:val="en-US" w:eastAsia="zh-CN"/>
                <w14:textFill>
                  <w14:solidFill>
                    <w14:schemeClr w14:val="tx1"/>
                  </w14:solidFill>
                </w14:textFill>
              </w:rPr>
              <w:t>11.9</w:t>
            </w:r>
            <w:r>
              <w:rPr>
                <w:rFonts w:ascii="Times New Roman" w:hAnsi="Times New Roman" w:cs="Times New Roman"/>
                <w:color w:val="000000" w:themeColor="text1"/>
                <w:kern w:val="0"/>
                <w:sz w:val="24"/>
                <w:szCs w:val="24"/>
                <w14:textFill>
                  <w14:solidFill>
                    <w14:schemeClr w14:val="tx1"/>
                  </w14:solidFill>
                </w14:textFill>
              </w:rPr>
              <w:t>亿元。</w:t>
            </w:r>
            <w:r>
              <w:rPr>
                <w:rFonts w:hint="eastAsia" w:ascii="Times New Roman" w:hAnsi="Times New Roman" w:cs="Times New Roman"/>
                <w:color w:val="000000" w:themeColor="text1"/>
                <w:kern w:val="0"/>
                <w:sz w:val="24"/>
                <w:szCs w:val="24"/>
                <w:lang w:val="en-US" w:eastAsia="zh-CN"/>
                <w14:textFill>
                  <w14:solidFill>
                    <w14:schemeClr w14:val="tx1"/>
                  </w14:solidFill>
                </w14:textFill>
              </w:rPr>
              <w:t>建</w:t>
            </w:r>
            <w:r>
              <w:rPr>
                <w:rFonts w:ascii="Times New Roman" w:hAnsi="Times New Roman" w:cs="Times New Roman"/>
                <w:color w:val="000000" w:themeColor="text1"/>
                <w:kern w:val="0"/>
                <w:sz w:val="24"/>
                <w:szCs w:val="24"/>
                <w14:textFill>
                  <w14:solidFill>
                    <w14:schemeClr w14:val="tx1"/>
                  </w14:solidFill>
                </w14:textFill>
              </w:rPr>
              <w:t>于</w:t>
            </w:r>
            <w:r>
              <w:rPr>
                <w:rFonts w:hint="eastAsia" w:ascii="Times New Roman" w:hAnsi="Times New Roman" w:cs="Times New Roman"/>
                <w:color w:val="000000" w:themeColor="text1"/>
                <w:kern w:val="0"/>
                <w:sz w:val="24"/>
                <w:szCs w:val="24"/>
                <w14:textFill>
                  <w14:solidFill>
                    <w14:schemeClr w14:val="tx1"/>
                  </w14:solidFill>
                </w14:textFill>
              </w:rPr>
              <w:t>龙泽大道以南，金堤路西侧，项目占地约39.3亩</w:t>
            </w:r>
            <w:r>
              <w:rPr>
                <w:rFonts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濮阳市</w:t>
            </w:r>
            <w:r>
              <w:rPr>
                <w:rFonts w:hint="eastAsia" w:ascii="Times New Roman" w:hAnsi="Times New Roman" w:cs="Times New Roman"/>
                <w:color w:val="000000" w:themeColor="text1"/>
                <w:kern w:val="0"/>
                <w:sz w:val="24"/>
                <w:szCs w:val="24"/>
                <w14:textFill>
                  <w14:solidFill>
                    <w14:schemeClr w14:val="tx1"/>
                  </w14:solidFill>
                </w14:textFill>
              </w:rPr>
              <w:t>大数据、云计算、区块链技术应用及数字经济发展的重要基础设施。满足全市公安、医疗、交通、人社、广播电视等视频、图像、政务数据存储</w:t>
            </w:r>
            <w:r>
              <w:rPr>
                <w:rFonts w:hint="eastAsia" w:ascii="Times New Roman" w:hAnsi="Times New Roman" w:cs="Times New Roman"/>
                <w:color w:val="000000" w:themeColor="text1"/>
                <w:kern w:val="0"/>
                <w:sz w:val="24"/>
                <w:szCs w:val="24"/>
                <w:lang w:val="en-US" w:eastAsia="zh-CN"/>
                <w14:textFill>
                  <w14:solidFill>
                    <w14:schemeClr w14:val="tx1"/>
                  </w14:solidFill>
                </w14:textFill>
              </w:rPr>
              <w:t>和算力</w:t>
            </w:r>
            <w:r>
              <w:rPr>
                <w:rFonts w:hint="eastAsia" w:ascii="Times New Roman" w:hAnsi="Times New Roman" w:cs="Times New Roman"/>
                <w:color w:val="000000" w:themeColor="text1"/>
                <w:kern w:val="0"/>
                <w:sz w:val="24"/>
                <w:szCs w:val="24"/>
                <w14:textFill>
                  <w14:solidFill>
                    <w14:schemeClr w14:val="tx1"/>
                  </w14:solidFill>
                </w14:textFill>
              </w:rPr>
              <w:t>需要。</w:t>
            </w:r>
          </w:p>
          <w:p>
            <w:pPr>
              <w:widowControl/>
              <w:spacing w:line="560" w:lineRule="exact"/>
              <w:rPr>
                <w:rFonts w:ascii="Times New Roman" w:hAnsi="Times New Roman" w:cs="Times New Roman"/>
                <w:color w:val="000000" w:themeColor="text1"/>
                <w:kern w:val="0"/>
                <w:sz w:val="24"/>
                <w:szCs w:val="24"/>
                <w14:textFill>
                  <w14:solidFill>
                    <w14:schemeClr w14:val="tx1"/>
                  </w14:solidFill>
                </w14:textFill>
              </w:rPr>
            </w:pPr>
            <w:r>
              <w:rPr>
                <w:rFonts w:hint="eastAsia" w:ascii="Times New Roman" w:hAnsi="Times New Roman" w:cs="Times New Roman"/>
                <w:b/>
                <w:bCs/>
                <w:color w:val="000000" w:themeColor="text1"/>
                <w:kern w:val="0"/>
                <w:sz w:val="24"/>
                <w:szCs w:val="24"/>
                <w:lang w:val="en-US" w:eastAsia="zh-CN"/>
                <w14:textFill>
                  <w14:solidFill>
                    <w14:schemeClr w14:val="tx1"/>
                  </w14:solidFill>
                </w14:textFill>
              </w:rPr>
              <w:t>工业互联网创新赋能中心项目。</w:t>
            </w:r>
            <w:r>
              <w:rPr>
                <w:rFonts w:hint="eastAsia" w:ascii="Times New Roman" w:hAnsi="Times New Roman" w:cs="Times New Roman"/>
                <w:color w:val="000000" w:themeColor="text1"/>
                <w:kern w:val="0"/>
                <w:sz w:val="24"/>
                <w:szCs w:val="24"/>
                <w:lang w:val="en-US" w:eastAsia="zh-CN"/>
                <w14:textFill>
                  <w14:solidFill>
                    <w14:schemeClr w14:val="tx1"/>
                  </w14:solidFill>
                </w14:textFill>
              </w:rPr>
              <w:t>预算投资1.35亿元，主要建设工业互联网创新解决方案与产品展示体验中心，工厂能力中心、应用研究中心、实验室及培训平台等，建成产业创新服务综合体，服务于制造业数字化转型。</w:t>
            </w:r>
          </w:p>
        </w:tc>
      </w:tr>
    </w:tbl>
    <w:p>
      <w:pPr>
        <w:pStyle w:val="5"/>
        <w:spacing w:line="240" w:lineRule="auto"/>
        <w:ind w:firstLine="0" w:firstLineChars="0"/>
        <w:jc w:val="center"/>
        <w:rPr>
          <w:rFonts w:hint="eastAsia" w:ascii="Times New Roman" w:hAnsi="Times New Roman" w:cs="Times New Roman"/>
          <w:color w:val="000000" w:themeColor="text1"/>
          <w:lang w:val="en-US" w:eastAsia="zh-CN"/>
          <w14:textFill>
            <w14:solidFill>
              <w14:schemeClr w14:val="tx1"/>
            </w14:solidFill>
          </w14:textFill>
        </w:rPr>
      </w:pPr>
      <w:bookmarkStart w:id="77" w:name="_Toc30241"/>
      <w:r>
        <w:rPr>
          <w:rFonts w:hint="eastAsia" w:ascii="Times New Roman" w:hAnsi="Times New Roman" w:cs="Times New Roman"/>
          <w:color w:val="000000" w:themeColor="text1"/>
          <w:lang w:val="en-US" w:eastAsia="zh-CN"/>
          <w14:textFill>
            <w14:solidFill>
              <w14:schemeClr w14:val="tx1"/>
            </w14:solidFill>
          </w14:textFill>
        </w:rPr>
        <w:t>第三节 谋篇布局未来产业</w:t>
      </w:r>
      <w:bookmarkEnd w:id="77"/>
    </w:p>
    <w:p>
      <w:pPr>
        <w:pStyle w:val="5"/>
        <w:spacing w:line="240" w:lineRule="auto"/>
        <w:ind w:firstLine="640"/>
        <w:rPr>
          <w:rFonts w:hint="eastAsia" w:ascii="Times New Roman" w:hAnsi="Times New Roman" w:cs="Times New Roman"/>
          <w:color w:val="000000" w:themeColor="text1"/>
          <w:lang w:val="en-US" w:eastAsia="zh-CN"/>
          <w14:textFill>
            <w14:solidFill>
              <w14:schemeClr w14:val="tx1"/>
            </w14:solidFill>
          </w14:textFill>
        </w:rPr>
      </w:pPr>
      <w:bookmarkStart w:id="78" w:name="_Toc21111"/>
      <w:r>
        <w:rPr>
          <w:rFonts w:hint="eastAsia" w:ascii="Times New Roman" w:hAnsi="Times New Roman" w:cs="Times New Roman"/>
          <w:color w:val="000000" w:themeColor="text1"/>
          <w:lang w:val="en-US" w:eastAsia="zh-CN"/>
          <w14:textFill>
            <w14:solidFill>
              <w14:schemeClr w14:val="tx1"/>
            </w14:solidFill>
          </w14:textFill>
        </w:rPr>
        <w:t>一、氢能产业</w:t>
      </w:r>
      <w:bookmarkEnd w:id="78"/>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color w:val="000000" w:themeColor="text1"/>
          <w:lang w:val="en-US" w:eastAsia="zh-CN"/>
          <w14:textFill>
            <w14:solidFill>
              <w14:schemeClr w14:val="tx1"/>
            </w14:solidFill>
          </w14:textFill>
        </w:rPr>
      </w:pPr>
      <w:r>
        <w:rPr>
          <w:rFonts w:hint="eastAsia" w:ascii="Times New Roman" w:hAnsi="Times New Roman" w:eastAsia="楷体_GB2312" w:cs="Times New Roman"/>
          <w:color w:val="000000" w:themeColor="text1"/>
          <w:lang w:val="en-US" w:eastAsia="zh-CN"/>
          <w14:textFill>
            <w14:solidFill>
              <w14:schemeClr w14:val="tx1"/>
            </w14:solidFill>
          </w14:textFill>
        </w:rPr>
        <w:t>（一）发展基础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全市已有</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中原大化、中原乙烯等7家制氢企业，年制氢能力约</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24</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万吨</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。拥有中原特车、中原总机石油等5家专用车辆生产资质企业,其中，中原总机燃料电池洗扫车已生产下线，氢能产业发展基础雄厚。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color w:val="000000" w:themeColor="text1"/>
          <w:lang w:val="en-US" w:eastAsia="zh-CN"/>
          <w14:textFill>
            <w14:solidFill>
              <w14:schemeClr w14:val="tx1"/>
            </w14:solidFill>
          </w14:textFill>
        </w:rPr>
      </w:pPr>
      <w:r>
        <w:rPr>
          <w:rFonts w:hint="eastAsia" w:ascii="Times New Roman" w:hAnsi="Times New Roman" w:eastAsia="楷体_GB2312" w:cs="Times New Roman"/>
          <w:color w:val="000000" w:themeColor="text1"/>
          <w:lang w:val="en-US" w:eastAsia="zh-CN"/>
          <w14:textFill>
            <w14:solidFill>
              <w14:schemeClr w14:val="tx1"/>
            </w14:solidFill>
          </w14:textFill>
        </w:rPr>
        <w:t>（二）发展思路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抢抓郑汴洛濮氢能走廊建设机遇，坚持现有产业未来化和未来产业技术化，</w:t>
      </w:r>
      <w:r>
        <w:rPr>
          <w:rFonts w:ascii="Times New Roman" w:hAnsi="Times New Roman" w:cs="Times New Roman"/>
          <w:color w:val="000000" w:themeColor="text1"/>
          <w14:textFill>
            <w14:solidFill>
              <w14:schemeClr w14:val="tx1"/>
            </w14:solidFill>
          </w14:textFill>
        </w:rPr>
        <w:t>依托骨干企业、高校、科研院所，开展氢能前沿技术研究和重大技术联合攻关；谋划氢气制备储运、燃料电池汽车等应用示范，优化氢能基础设施布局，加速氢能产业化、规模化和商业化进程，培育引进一批国内一流的氢能装备制造企业、燃料电池和动力系统集成研发制造企业、整车生产企业，逐步形成</w:t>
      </w:r>
      <w:r>
        <w:rPr>
          <w:rFonts w:hint="eastAsia" w:ascii="Times New Roman" w:hAnsi="Times New Roman" w:cs="Times New Roman"/>
          <w:color w:val="000000" w:themeColor="text1"/>
          <w:lang w:val="en-US" w:eastAsia="zh-CN"/>
          <w14:textFill>
            <w14:solidFill>
              <w14:schemeClr w14:val="tx1"/>
            </w14:solidFill>
          </w14:textFill>
        </w:rPr>
        <w:t>绿氢制造</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向制氢、储运氢、加氢设备制造、燃料电池、发动机、整车制</w:t>
      </w:r>
      <w:r>
        <w:rPr>
          <w:rFonts w:hint="eastAsia" w:ascii="Times New Roman" w:hAnsi="Times New Roman" w:cs="Times New Roman"/>
          <w:color w:val="000000" w:themeColor="text1"/>
          <w:lang w:val="en-US" w:eastAsia="zh-CN"/>
          <w14:textFill>
            <w14:solidFill>
              <w14:schemeClr w14:val="tx1"/>
            </w14:solidFill>
          </w14:textFill>
        </w:rPr>
        <w:t>造延伸的全产业链条。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color w:val="000000" w:themeColor="text1"/>
          <w:lang w:val="en-US" w:eastAsia="zh-CN"/>
          <w14:textFill>
            <w14:solidFill>
              <w14:schemeClr w14:val="tx1"/>
            </w14:solidFill>
          </w14:textFill>
        </w:rPr>
      </w:pPr>
      <w:r>
        <w:rPr>
          <w:rFonts w:hint="eastAsia" w:ascii="Times New Roman" w:hAnsi="Times New Roman" w:eastAsia="楷体_GB2312" w:cs="Times New Roman"/>
          <w:color w:val="000000" w:themeColor="text1"/>
          <w:lang w:val="en-US" w:eastAsia="zh-CN"/>
          <w14:textFill>
            <w14:solidFill>
              <w14:schemeClr w14:val="tx1"/>
            </w14:solidFill>
          </w14:textFill>
        </w:rPr>
        <w:t>（三）发展目标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到202</w:t>
      </w:r>
      <w:r>
        <w:rPr>
          <w:rFonts w:hint="eastAsia"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lang w:val="en-US" w:eastAsia="zh-CN"/>
          <w14:textFill>
            <w14:solidFill>
              <w14:schemeClr w14:val="tx1"/>
            </w14:solidFill>
          </w14:textFill>
        </w:rPr>
        <w:t>年，全市制氢量达</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万吨/年，其中绿氢产能3000吨/年；引进具有市场竞争力的燃料电池及核心零部件、动力系统集成、检验检测领域龙头企业10家，培育氢燃料电池汽车制造及零部件生产企业2家，氢能全产业链发展格局基本形成，氢能产业产值达50亿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color w:val="000000" w:themeColor="text1"/>
          <w:lang w:val="en-US" w:eastAsia="zh-CN"/>
          <w14:textFill>
            <w14:solidFill>
              <w14:schemeClr w14:val="tx1"/>
            </w14:solidFill>
          </w14:textFill>
        </w:rPr>
      </w:pPr>
      <w:r>
        <w:rPr>
          <w:rFonts w:hint="eastAsia" w:ascii="Times New Roman" w:hAnsi="Times New Roman" w:eastAsia="楷体_GB2312" w:cs="Times New Roman"/>
          <w:color w:val="000000" w:themeColor="text1"/>
          <w:lang w:val="en-US" w:eastAsia="zh-CN"/>
          <w14:textFill>
            <w14:solidFill>
              <w14:schemeClr w14:val="tx1"/>
            </w14:solidFill>
          </w14:textFill>
        </w:rPr>
        <w:t>（四）重点任务</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 xml:space="preserve">1.培育产业集群集聚基地 </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依托濮阳市产业集聚区、濮东产业集聚区、濮阳经济技术产业集聚区，大力发展氢气提纯技术，不断提高工业副产氢利用率，逐步形成制氢、氢储存和输送、氢基础设施建设、关键材料和零部件、动力系统集成，交通运输、分布式发电、备用电源、特种领域等氢燃料电池应用产业制造和运营服务的产业集群，力争将氢能和氢燃料电池产业培育成对全市产业转型升级具有重大引领带动作用的战略性新兴产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2.搭建科研创新载体。</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深化中石化中原油田分公司与清华大学、中国石油大学等高等院校合作，发挥氢能产业研究院协同创新引领作用，联合攻关氢能前沿技术研究和重大技术取得突破。依托中原油田、宗惠氢气、中原特车、</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中原总机</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等骨干企业，布局建设氢气制取与储存、燃料电池及动力系统、整车生产、燃料电池关键材料、检验检测等创新支撑服务平台。</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jc w:val="left"/>
        <w:textAlignment w:val="auto"/>
        <w:rPr>
          <w:rFonts w:hint="default"/>
          <w:lang w:val="en-US" w:eastAsia="zh-CN"/>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3.引优做强产业链。</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紧扣氢燃料电池产业链短板，围绕催化剂、质子交换膜、碳纸、膜电极、双极板、压缩机、加湿器等核心零部件，</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推进中石化中原油田分公司兆瓦级电解水制氢示范项目、河南省宗惠氢气有限公司5000N㎥/h高纯氢等</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项目建设？，推动</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国鸿氢能科技产业园、上海陕耀水电解制氢装备制造</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等项目签约落地。</w:t>
      </w:r>
    </w:p>
    <w:tbl>
      <w:tblPr>
        <w:tblStyle w:val="14"/>
        <w:tblpPr w:leftFromText="180" w:rightFromText="180" w:vertAnchor="text" w:horzAnchor="page" w:tblpX="1633" w:tblpY="366"/>
        <w:tblOverlap w:val="never"/>
        <w:tblW w:w="870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7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专栏1</w:t>
            </w:r>
            <w:r>
              <w:rPr>
                <w:rFonts w:hint="eastAsia" w:ascii="Times New Roman" w:hAnsi="Times New Roman" w:cs="Times New Roman"/>
                <w:color w:val="000000" w:themeColor="text1"/>
                <w:kern w:val="0"/>
                <w:sz w:val="24"/>
                <w:szCs w:val="24"/>
                <w:lang w:val="en-US" w:eastAsia="zh-CN"/>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 xml:space="preserve"> </w:t>
            </w:r>
            <w:r>
              <w:rPr>
                <w:rFonts w:hint="eastAsia" w:ascii="Times New Roman" w:hAnsi="Times New Roman" w:cs="Times New Roman"/>
                <w:color w:val="000000" w:themeColor="text1"/>
                <w:kern w:val="0"/>
                <w:sz w:val="24"/>
                <w:szCs w:val="24"/>
                <w:lang w:val="en-US" w:eastAsia="zh-CN"/>
                <w14:textFill>
                  <w14:solidFill>
                    <w14:schemeClr w14:val="tx1"/>
                  </w14:solidFill>
                </w14:textFill>
              </w:rPr>
              <w:t>氢能产业</w:t>
            </w:r>
            <w:r>
              <w:rPr>
                <w:rFonts w:ascii="Times New Roman" w:hAnsi="Times New Roman" w:cs="Times New Roman"/>
                <w:color w:val="000000" w:themeColor="text1"/>
                <w:kern w:val="0"/>
                <w:sz w:val="24"/>
                <w:szCs w:val="24"/>
                <w14:textFill>
                  <w14:solidFill>
                    <w14:schemeClr w14:val="tx1"/>
                  </w14:solidFill>
                </w14:textFill>
              </w:rPr>
              <w:t>重点规划建设项目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6" w:hRule="atLeast"/>
          <w:jc w:val="center"/>
        </w:trPr>
        <w:tc>
          <w:tcPr>
            <w:tcW w:w="87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color w:val="000000" w:themeColor="text1"/>
                <w:sz w:val="24"/>
                <w:szCs w:val="24"/>
                <w:lang w:eastAsia="zh-CN"/>
                <w14:textFill>
                  <w14:solidFill>
                    <w14:schemeClr w14:val="tx1"/>
                  </w14:solidFill>
                </w14:textFill>
              </w:rPr>
            </w:pPr>
            <w:r>
              <w:rPr>
                <w:rFonts w:hint="eastAsia"/>
                <w:b/>
                <w:bCs/>
                <w:color w:val="000000" w:themeColor="text1"/>
                <w:sz w:val="24"/>
                <w:szCs w:val="24"/>
                <w14:textFill>
                  <w14:solidFill>
                    <w14:schemeClr w14:val="tx1"/>
                  </w14:solidFill>
                </w14:textFill>
              </w:rPr>
              <w:t>华龙区氢能产业园项目</w:t>
            </w:r>
            <w:r>
              <w:rPr>
                <w:rFonts w:hint="eastAsia"/>
                <w:b/>
                <w:bCs/>
                <w:color w:val="000000" w:themeColor="text1"/>
                <w:sz w:val="24"/>
                <w:szCs w:val="24"/>
                <w:lang w:eastAsia="zh-CN"/>
                <w14:textFill>
                  <w14:solidFill>
                    <w14:schemeClr w14:val="tx1"/>
                  </w14:solidFill>
                </w14:textFill>
              </w:rPr>
              <w:t>。</w:t>
            </w:r>
            <w:r>
              <w:rPr>
                <w:rFonts w:hint="eastAsia"/>
                <w:color w:val="000000" w:themeColor="text1"/>
                <w:sz w:val="24"/>
                <w:szCs w:val="24"/>
                <w:lang w:eastAsia="zh-CN"/>
                <w14:textFill>
                  <w14:solidFill>
                    <w14:schemeClr w14:val="tx1"/>
                  </w14:solidFill>
                </w14:textFill>
              </w:rPr>
              <w:t>总建筑面积10万平方米，</w:t>
            </w:r>
            <w:r>
              <w:rPr>
                <w:rFonts w:hint="eastAsia"/>
                <w:color w:val="000000" w:themeColor="text1"/>
                <w:sz w:val="24"/>
                <w:szCs w:val="24"/>
                <w:lang w:val="en-US" w:eastAsia="zh-CN"/>
                <w14:textFill>
                  <w14:solidFill>
                    <w14:schemeClr w14:val="tx1"/>
                  </w14:solidFill>
                </w14:textFill>
              </w:rPr>
              <w:t>总投资10亿元，</w:t>
            </w:r>
            <w:r>
              <w:rPr>
                <w:rFonts w:hint="eastAsia"/>
                <w:color w:val="000000" w:themeColor="text1"/>
                <w:sz w:val="24"/>
                <w:szCs w:val="24"/>
                <w:lang w:eastAsia="zh-CN"/>
                <w14:textFill>
                  <w14:solidFill>
                    <w14:schemeClr w14:val="tx1"/>
                  </w14:solidFill>
                </w14:textFill>
              </w:rPr>
              <w:t>主要建设4栋厂房、1栋研发楼、1栋专家公寓、1栋人才公寓、2栋职工宿舍、1栋职工餐厅，年产电堆1200台、系统集成1200套、ETI设备1000台。</w:t>
            </w:r>
          </w:p>
          <w:p>
            <w:pPr>
              <w:pStyle w:val="22"/>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color w:val="000000" w:themeColor="text1"/>
                <w:sz w:val="24"/>
                <w:szCs w:val="24"/>
                <w:lang w:eastAsia="zh-CN"/>
                <w14:textFill>
                  <w14:solidFill>
                    <w14:schemeClr w14:val="tx1"/>
                  </w14:solidFill>
                </w14:textFill>
              </w:rPr>
            </w:pPr>
            <w:r>
              <w:rPr>
                <w:rFonts w:hint="eastAsia" w:eastAsia="仿宋_GB2312" w:asciiTheme="minorHAnsi" w:hAnsiTheme="minorHAnsi" w:cstheme="minorBidi"/>
                <w:b/>
                <w:bCs/>
                <w:color w:val="000000" w:themeColor="text1"/>
                <w:kern w:val="2"/>
                <w:sz w:val="24"/>
                <w:szCs w:val="24"/>
                <w:lang w:val="en-US" w:eastAsia="zh-CN" w:bidi="ar-SA"/>
                <w14:textFill>
                  <w14:solidFill>
                    <w14:schemeClr w14:val="tx1"/>
                  </w14:solidFill>
                </w14:textFill>
              </w:rPr>
              <w:t>华龙区氢能研究院项目。</w:t>
            </w:r>
            <w:r>
              <w:rPr>
                <w:rFonts w:hint="eastAsia"/>
                <w:color w:val="000000" w:themeColor="text1"/>
                <w:sz w:val="24"/>
                <w:szCs w:val="24"/>
                <w:lang w:eastAsia="zh-CN"/>
                <w14:textFill>
                  <w14:solidFill>
                    <w14:schemeClr w14:val="tx1"/>
                  </w14:solidFill>
                </w14:textFill>
              </w:rPr>
              <w:t>总建筑面积2.6万平方米，</w:t>
            </w:r>
            <w:r>
              <w:rPr>
                <w:rFonts w:hint="eastAsia"/>
                <w:color w:val="000000" w:themeColor="text1"/>
                <w:sz w:val="24"/>
                <w:szCs w:val="24"/>
                <w:lang w:val="en-US" w:eastAsia="zh-CN"/>
                <w14:textFill>
                  <w14:solidFill>
                    <w14:schemeClr w14:val="tx1"/>
                  </w14:solidFill>
                </w14:textFill>
              </w:rPr>
              <w:t>总投资2亿元，</w:t>
            </w:r>
            <w:r>
              <w:rPr>
                <w:rFonts w:hint="eastAsia"/>
                <w:color w:val="000000" w:themeColor="text1"/>
                <w:sz w:val="24"/>
                <w:szCs w:val="24"/>
                <w:lang w:eastAsia="zh-CN"/>
                <w14:textFill>
                  <w14:solidFill>
                    <w14:schemeClr w14:val="tx1"/>
                  </w14:solidFill>
                </w14:textFill>
              </w:rPr>
              <w:t>主要开展氢能大数据分析技术、氢能装备关键技术、核心技术研发，构建省级氢能学术交流中心，孵化氢能装备生产科技企业。</w:t>
            </w:r>
          </w:p>
          <w:p>
            <w:pPr>
              <w:pStyle w:val="22"/>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color w:val="000000" w:themeColor="text1"/>
                <w:lang w:eastAsia="zh-CN"/>
                <w14:textFill>
                  <w14:solidFill>
                    <w14:schemeClr w14:val="tx1"/>
                  </w14:solidFill>
                </w14:textFill>
              </w:rPr>
            </w:pPr>
            <w:r>
              <w:rPr>
                <w:rFonts w:hint="eastAsia" w:eastAsia="仿宋_GB2312" w:asciiTheme="minorHAnsi" w:hAnsiTheme="minorHAnsi" w:cstheme="minorBidi"/>
                <w:b/>
                <w:bCs/>
                <w:color w:val="000000" w:themeColor="text1"/>
                <w:kern w:val="2"/>
                <w:sz w:val="24"/>
                <w:szCs w:val="24"/>
                <w:lang w:val="en-US" w:eastAsia="zh-CN" w:bidi="ar-SA"/>
                <w14:textFill>
                  <w14:solidFill>
                    <w14:schemeClr w14:val="tx1"/>
                  </w14:solidFill>
                </w14:textFill>
              </w:rPr>
              <w:t>中沁泰康科技能源集团有限公司氢燃料电堆核心零部件项目。</w:t>
            </w:r>
            <w:r>
              <w:rPr>
                <w:rFonts w:hint="eastAsia"/>
                <w:color w:val="000000" w:themeColor="text1"/>
                <w:sz w:val="24"/>
                <w:szCs w:val="24"/>
                <w:lang w:eastAsia="zh-CN"/>
                <w14:textFill>
                  <w14:solidFill>
                    <w14:schemeClr w14:val="tx1"/>
                  </w14:solidFill>
                </w14:textFill>
              </w:rPr>
              <w:t>总建筑面积1万平方米，</w:t>
            </w:r>
            <w:r>
              <w:rPr>
                <w:rFonts w:hint="eastAsia"/>
                <w:color w:val="000000" w:themeColor="text1"/>
                <w:sz w:val="24"/>
                <w:szCs w:val="24"/>
                <w:lang w:val="en-US" w:eastAsia="zh-CN"/>
                <w14:textFill>
                  <w14:solidFill>
                    <w14:schemeClr w14:val="tx1"/>
                  </w14:solidFill>
                </w14:textFill>
              </w:rPr>
              <w:t>总投资3亿元，</w:t>
            </w:r>
            <w:r>
              <w:rPr>
                <w:rFonts w:hint="eastAsia"/>
                <w:color w:val="000000" w:themeColor="text1"/>
                <w:sz w:val="24"/>
                <w:szCs w:val="24"/>
                <w:lang w:eastAsia="zh-CN"/>
                <w14:textFill>
                  <w14:solidFill>
                    <w14:schemeClr w14:val="tx1"/>
                  </w14:solidFill>
                </w14:textFill>
              </w:rPr>
              <w:t>主要建设标准化厂房及生产性辅助配套设施，一期新建1条生产线，二期建设2条生产线，主要生产膜电极、催化剂等核心零部件，年组装氢燃料电堆系统4000套</w:t>
            </w:r>
          </w:p>
        </w:tc>
      </w:tr>
    </w:tbl>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p>
    <w:p>
      <w:pPr>
        <w:ind w:firstLine="640" w:firstLineChars="200"/>
        <w:rPr>
          <w:rFonts w:ascii="Times New Roman" w:hAnsi="Times New Roman" w:cs="Times New Roman"/>
          <w:color w:val="000000" w:themeColor="text1"/>
          <w14:textFill>
            <w14:solidFill>
              <w14:schemeClr w14:val="tx1"/>
            </w14:solidFill>
          </w14:textFill>
        </w:rPr>
      </w:pPr>
    </w:p>
    <w:p>
      <w:pPr>
        <w:pStyle w:val="22"/>
        <w:rPr>
          <w:rFonts w:hint="default" w:ascii="Times New Roman" w:hAnsi="Times New Roman" w:eastAsia="楷体_GB2312" w:cs="Times New Roman"/>
          <w:color w:val="000000" w:themeColor="text1"/>
          <w:lang w:val="en-US" w:eastAsia="zh-CN"/>
          <w14:textFill>
            <w14:solidFill>
              <w14:schemeClr w14:val="tx1"/>
            </w14:solidFill>
          </w14:textFill>
        </w:rPr>
        <w:sectPr>
          <w:pgSz w:w="11906" w:h="16838"/>
          <w:pgMar w:top="2098" w:right="1474" w:bottom="1984" w:left="1587" w:header="851" w:footer="992" w:gutter="0"/>
          <w:pgNumType w:fmt="decimal"/>
          <w:cols w:space="425" w:num="1"/>
          <w:docGrid w:type="lines" w:linePitch="312" w:charSpace="0"/>
        </w:sectPr>
      </w:pPr>
    </w:p>
    <w:p>
      <w:pPr>
        <w:pStyle w:val="4"/>
        <w:rPr>
          <w:rFonts w:ascii="Times New Roman" w:hAnsi="Times New Roman" w:cs="Times New Roman"/>
          <w:color w:val="000000" w:themeColor="text1"/>
          <w14:textFill>
            <w14:solidFill>
              <w14:schemeClr w14:val="tx1"/>
            </w14:solidFill>
          </w14:textFill>
        </w:rPr>
      </w:pPr>
      <w:bookmarkStart w:id="79" w:name="_Toc62834789"/>
      <w:bookmarkStart w:id="80" w:name="_Toc10130"/>
      <w:bookmarkStart w:id="81" w:name="_Toc29300"/>
      <w:bookmarkStart w:id="82" w:name="_Toc23135"/>
      <w:r>
        <w:rPr>
          <w:rFonts w:ascii="Times New Roman" w:hAnsi="Times New Roman" w:cs="Times New Roman"/>
          <w:color w:val="000000" w:themeColor="text1"/>
          <w14:textFill>
            <w14:solidFill>
              <w14:schemeClr w14:val="tx1"/>
            </w14:solidFill>
          </w14:textFill>
        </w:rPr>
        <w:t>第四章  主要措施</w:t>
      </w:r>
      <w:bookmarkEnd w:id="79"/>
      <w:bookmarkEnd w:id="80"/>
      <w:bookmarkEnd w:id="81"/>
      <w:bookmarkEnd w:id="82"/>
    </w:p>
    <w:p>
      <w:pPr>
        <w:rPr>
          <w:rFonts w:ascii="Times New Roman" w:hAnsi="Times New Roman" w:cs="Times New Roman"/>
          <w:color w:val="000000" w:themeColor="text1"/>
          <w14:textFill>
            <w14:solidFill>
              <w14:schemeClr w14:val="tx1"/>
            </w14:solidFill>
          </w14:textFill>
        </w:rPr>
      </w:pP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83" w:name="_Toc62834790"/>
      <w:bookmarkStart w:id="84" w:name="_Toc26106"/>
      <w:bookmarkStart w:id="85" w:name="_Toc23063"/>
      <w:r>
        <w:rPr>
          <w:rFonts w:ascii="Times New Roman" w:hAnsi="Times New Roman" w:cs="Times New Roman"/>
          <w:color w:val="000000" w:themeColor="text1"/>
          <w14:textFill>
            <w14:solidFill>
              <w14:schemeClr w14:val="tx1"/>
            </w14:solidFill>
          </w14:textFill>
        </w:rPr>
        <w:t>一、</w:t>
      </w:r>
      <w:bookmarkEnd w:id="83"/>
      <w:r>
        <w:rPr>
          <w:rFonts w:ascii="Times New Roman" w:hAnsi="Times New Roman" w:cs="Times New Roman"/>
          <w:color w:val="000000" w:themeColor="text1"/>
          <w14:textFill>
            <w14:solidFill>
              <w14:schemeClr w14:val="tx1"/>
            </w14:solidFill>
          </w14:textFill>
        </w:rPr>
        <w:t>强化科技创新，激发创新发展活力</w:t>
      </w:r>
      <w:bookmarkEnd w:id="84"/>
      <w:bookmarkEnd w:id="85"/>
    </w:p>
    <w:p>
      <w:pPr>
        <w:ind w:firstLine="640" w:firstLineChars="200"/>
        <w:rPr>
          <w:rFonts w:hint="default" w:ascii="Times New Roman" w:hAnsi="Times New Roman" w:cs="Times New Roman"/>
          <w:color w:val="000000" w:themeColor="text1"/>
          <w:lang w:val="en-US" w:eastAsia="zh-CN"/>
          <w14:textFill>
            <w14:solidFill>
              <w14:schemeClr w14:val="tx1"/>
            </w14:solidFill>
          </w14:textFill>
        </w:rPr>
      </w:pPr>
      <w:r>
        <w:rPr>
          <w:rFonts w:ascii="Times New Roman" w:hAnsi="Times New Roman" w:cs="Times New Roman"/>
          <w:color w:val="000000" w:themeColor="text1"/>
          <w14:textFill>
            <w14:solidFill>
              <w14:schemeClr w14:val="tx1"/>
            </w14:solidFill>
          </w14:textFill>
        </w:rPr>
        <w:t>坚持创新在制造业高质量发展中的核心地位，</w:t>
      </w:r>
      <w:r>
        <w:rPr>
          <w:rFonts w:hint="eastAsia" w:ascii="Times New Roman" w:hAnsi="Times New Roman" w:cs="Times New Roman"/>
          <w:color w:val="000000" w:themeColor="text1"/>
          <w:lang w:val="en-US" w:eastAsia="zh-CN"/>
          <w14:textFill>
            <w14:solidFill>
              <w14:schemeClr w14:val="tx1"/>
            </w14:solidFill>
          </w14:textFill>
        </w:rPr>
        <w:t>实施创新平台提质扩量行动，</w:t>
      </w:r>
      <w:r>
        <w:rPr>
          <w:rFonts w:hint="eastAsia"/>
          <w:color w:val="000000" w:themeColor="text1"/>
          <w14:textFill>
            <w14:solidFill>
              <w14:schemeClr w14:val="tx1"/>
            </w14:solidFill>
          </w14:textFill>
        </w:rPr>
        <w:t>加快提升关键核心技术攻关“</w:t>
      </w:r>
      <w:r>
        <w:rPr>
          <w:rFonts w:hint="eastAsia"/>
          <w:color w:val="000000" w:themeColor="text1"/>
          <w:lang w:val="en-US" w:eastAsia="zh-CN"/>
          <w14:textFill>
            <w14:solidFill>
              <w14:schemeClr w14:val="tx1"/>
            </w14:solidFill>
          </w14:textFill>
        </w:rPr>
        <w:t>濮阳</w:t>
      </w:r>
      <w:r>
        <w:rPr>
          <w:rFonts w:hint="eastAsia"/>
          <w:color w:val="000000" w:themeColor="text1"/>
          <w14:textFill>
            <w14:solidFill>
              <w14:schemeClr w14:val="tx1"/>
            </w14:solidFill>
          </w14:textFill>
        </w:rPr>
        <w:t>能力”</w:t>
      </w:r>
      <w:r>
        <w:rPr>
          <w:rFonts w:hint="eastAsia" w:ascii="Times New Roman" w:hAnsi="Times New Roman" w:cs="Times New Roman"/>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着力突破一批壮大新兴产业</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支撑未来产业</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升级改造传统产业的新技术，推动一批</w:t>
      </w:r>
      <w:r>
        <w:rPr>
          <w:rFonts w:hint="eastAsia"/>
          <w:color w:val="000000" w:themeColor="text1"/>
          <w:lang w:val="en-US" w:eastAsia="zh-CN"/>
          <w14:textFill>
            <w14:solidFill>
              <w14:schemeClr w14:val="tx1"/>
            </w14:solidFill>
          </w14:textFill>
        </w:rPr>
        <w:t>濮阳制造</w:t>
      </w:r>
      <w:r>
        <w:rPr>
          <w:rFonts w:hint="eastAsia"/>
          <w:color w:val="000000" w:themeColor="text1"/>
          <w14:textFill>
            <w14:solidFill>
              <w14:schemeClr w14:val="tx1"/>
            </w14:solidFill>
          </w14:textFill>
        </w:rPr>
        <w:t>产品进入到国内大循环关键环、中高端，</w:t>
      </w:r>
      <w:bookmarkStart w:id="86" w:name="_Hlk85382231"/>
      <w:r>
        <w:rPr>
          <w:rFonts w:hint="eastAsia"/>
          <w:color w:val="000000" w:themeColor="text1"/>
          <w14:textFill>
            <w14:solidFill>
              <w14:schemeClr w14:val="tx1"/>
            </w14:solidFill>
          </w14:textFill>
        </w:rPr>
        <w:t>构建一流创新生态，打造</w:t>
      </w:r>
      <w:r>
        <w:rPr>
          <w:rFonts w:hint="eastAsia"/>
          <w:color w:val="000000" w:themeColor="text1"/>
          <w:lang w:val="en-US" w:eastAsia="zh-CN"/>
          <w14:textFill>
            <w14:solidFill>
              <w14:schemeClr w14:val="tx1"/>
            </w14:solidFill>
          </w14:textFill>
        </w:rPr>
        <w:t>中西部</w:t>
      </w:r>
      <w:r>
        <w:rPr>
          <w:rFonts w:hint="eastAsia"/>
          <w:color w:val="000000" w:themeColor="text1"/>
          <w14:textFill>
            <w14:solidFill>
              <w14:schemeClr w14:val="tx1"/>
            </w14:solidFill>
          </w14:textFill>
        </w:rPr>
        <w:t>创新高地</w:t>
      </w:r>
      <w:r>
        <w:rPr>
          <w:color w:val="000000" w:themeColor="text1"/>
          <w14:textFill>
            <w14:solidFill>
              <w14:schemeClr w14:val="tx1"/>
            </w14:solidFill>
          </w14:textFill>
        </w:rPr>
        <w:t>。</w:t>
      </w:r>
      <w:bookmarkEnd w:id="86"/>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培育科技创新企业。</w:t>
      </w:r>
      <w:r>
        <w:rPr>
          <w:rFonts w:ascii="Times New Roman" w:hAnsi="Times New Roman" w:cs="Times New Roman"/>
          <w:color w:val="000000" w:themeColor="text1"/>
          <w14:textFill>
            <w14:solidFill>
              <w14:schemeClr w14:val="tx1"/>
            </w14:solidFill>
          </w14:textFill>
        </w:rPr>
        <w:t>加大省级技术创新示范企业的培育，选择一批具有自主知识产权、研发基础好、技术创新能力强、具有行业带动性的典型企业，争创国家级技术创新示范企业、企业技术中心、制造业创新中心。培育遴选综合实力强、行业地位突出的创新龙头企业</w:t>
      </w:r>
      <w:r>
        <w:rPr>
          <w:rFonts w:hint="eastAsia" w:ascii="Times New Roman" w:hAnsi="Times New Roman" w:cs="Times New Roman"/>
          <w:color w:val="000000" w:themeColor="text1"/>
          <w:lang w:val="en-US" w:eastAsia="zh-CN"/>
          <w14:textFill>
            <w14:solidFill>
              <w14:schemeClr w14:val="tx1"/>
            </w14:solidFill>
          </w14:textFill>
        </w:rPr>
        <w:t>和</w:t>
      </w:r>
      <w:r>
        <w:rPr>
          <w:rFonts w:ascii="Times New Roman" w:hAnsi="Times New Roman" w:cs="Times New Roman"/>
          <w:color w:val="000000" w:themeColor="text1"/>
          <w14:textFill>
            <w14:solidFill>
              <w14:schemeClr w14:val="tx1"/>
            </w14:solidFill>
          </w14:textFill>
        </w:rPr>
        <w:t>发展速度快、成长性好的“瞪羚”企业，在此基础上挖掘培育“独角兽”企业。实施创新型企业培育行动，设立全市高新技术企业“后备库”，挖掘高技术、高成长性企业入库，不断扩大创新型企业“后备库”队伍。</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布局创新载体平台。</w:t>
      </w:r>
      <w:r>
        <w:rPr>
          <w:rFonts w:ascii="Times New Roman" w:hAnsi="Times New Roman" w:cs="Times New Roman"/>
          <w:color w:val="000000" w:themeColor="text1"/>
          <w14:textFill>
            <w14:solidFill>
              <w14:schemeClr w14:val="tx1"/>
            </w14:solidFill>
          </w14:textFill>
        </w:rPr>
        <w:t>积极融入沿黄科创带建设，争取国家重大创新平台和重大科技基础设施布局，打造全省重要的科技创新策源地。</w:t>
      </w:r>
      <w:r>
        <w:rPr>
          <w:rFonts w:hint="eastAsia" w:ascii="Times New Roman" w:hAnsi="Times New Roman" w:cs="Times New Roman"/>
          <w:color w:val="000000" w:themeColor="text1"/>
          <w:szCs w:val="32"/>
          <w:lang w:val="en-US" w:eastAsia="zh-CN"/>
          <w14:textFill>
            <w14:solidFill>
              <w14:schemeClr w14:val="tx1"/>
            </w14:solidFill>
          </w14:textFill>
        </w:rPr>
        <w:t>发挥绿色化工新材料、油气装备等</w:t>
      </w:r>
      <w:r>
        <w:rPr>
          <w:rFonts w:hint="eastAsia" w:ascii="Times New Roman" w:hAnsi="Times New Roman" w:cs="Times New Roman"/>
          <w:color w:val="000000" w:themeColor="text1"/>
          <w:szCs w:val="32"/>
          <w14:textFill>
            <w14:solidFill>
              <w14:schemeClr w14:val="tx1"/>
            </w14:solidFill>
          </w14:textFill>
        </w:rPr>
        <w:t>专业型产业研究院</w:t>
      </w:r>
      <w:r>
        <w:rPr>
          <w:rFonts w:hint="eastAsia" w:ascii="Times New Roman" w:hAnsi="Times New Roman" w:cs="Times New Roman"/>
          <w:color w:val="000000" w:themeColor="text1"/>
          <w:szCs w:val="32"/>
          <w:lang w:val="en-US" w:eastAsia="zh-CN"/>
          <w14:textFill>
            <w14:solidFill>
              <w14:schemeClr w14:val="tx1"/>
            </w14:solidFill>
          </w14:textFill>
        </w:rPr>
        <w:t>创新引领作用</w:t>
      </w:r>
      <w:r>
        <w:rPr>
          <w:rFonts w:hint="eastAsia" w:ascii="Times New Roman" w:hAnsi="Times New Roman" w:cs="Times New Roman"/>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推行“研究院+创新平台+合作项目”运行模式，</w:t>
      </w:r>
      <w:r>
        <w:rPr>
          <w:rFonts w:hint="eastAsia" w:ascii="Times New Roman" w:hAnsi="Times New Roman" w:cs="Times New Roman"/>
          <w:color w:val="000000" w:themeColor="text1"/>
          <w:szCs w:val="32"/>
          <w14:textFill>
            <w14:solidFill>
              <w14:schemeClr w14:val="tx1"/>
            </w14:solidFill>
          </w14:textFill>
        </w:rPr>
        <w:t>制定本行业技术路线图，</w:t>
      </w:r>
      <w:r>
        <w:rPr>
          <w:rFonts w:ascii="Times New Roman" w:hAnsi="Times New Roman" w:cs="Times New Roman"/>
          <w:color w:val="000000" w:themeColor="text1"/>
          <w:szCs w:val="32"/>
          <w14:textFill>
            <w14:solidFill>
              <w14:schemeClr w14:val="tx1"/>
            </w14:solidFill>
          </w14:textFill>
        </w:rPr>
        <w:t>开展</w:t>
      </w:r>
      <w:r>
        <w:rPr>
          <w:rFonts w:hint="eastAsia" w:ascii="Times New Roman" w:hAnsi="Times New Roman" w:cs="Times New Roman"/>
          <w:color w:val="000000" w:themeColor="text1"/>
          <w:szCs w:val="32"/>
          <w14:textFill>
            <w14:solidFill>
              <w14:schemeClr w14:val="tx1"/>
            </w14:solidFill>
          </w14:textFill>
        </w:rPr>
        <w:t>本</w:t>
      </w:r>
      <w:r>
        <w:rPr>
          <w:rFonts w:ascii="Times New Roman" w:hAnsi="Times New Roman" w:cs="Times New Roman"/>
          <w:color w:val="000000" w:themeColor="text1"/>
          <w:szCs w:val="32"/>
          <w14:textFill>
            <w14:solidFill>
              <w14:schemeClr w14:val="tx1"/>
            </w14:solidFill>
          </w14:textFill>
        </w:rPr>
        <w:t>行业共性关键技术研发，构建全</w:t>
      </w:r>
      <w:r>
        <w:rPr>
          <w:rFonts w:hint="eastAsia" w:ascii="Times New Roman" w:hAnsi="Times New Roman" w:cs="Times New Roman"/>
          <w:color w:val="000000" w:themeColor="text1"/>
          <w:szCs w:val="32"/>
          <w:lang w:val="en-US" w:eastAsia="zh-CN"/>
          <w14:textFill>
            <w14:solidFill>
              <w14:schemeClr w14:val="tx1"/>
            </w14:solidFill>
          </w14:textFill>
        </w:rPr>
        <w:t>市</w:t>
      </w:r>
      <w:r>
        <w:rPr>
          <w:rFonts w:ascii="Times New Roman" w:hAnsi="Times New Roman" w:cs="Times New Roman"/>
          <w:color w:val="000000" w:themeColor="text1"/>
          <w:szCs w:val="32"/>
          <w14:textFill>
            <w14:solidFill>
              <w14:schemeClr w14:val="tx1"/>
            </w14:solidFill>
          </w14:textFill>
        </w:rPr>
        <w:t>协同的制造业技术创新体系</w:t>
      </w:r>
      <w:r>
        <w:rPr>
          <w:rFonts w:ascii="Times New Roman" w:hAnsi="Times New Roman" w:cs="Times New Roman"/>
          <w:color w:val="000000" w:themeColor="text1"/>
          <w14:textFill>
            <w14:solidFill>
              <w14:schemeClr w14:val="tx1"/>
            </w14:solidFill>
          </w14:textFill>
        </w:rPr>
        <w:t>。推动规模以上创新型企业研发机构全覆盖和大中型工业企业省级以上研发平台全覆盖，新建一批省级以上高能级新型研发机构和研发平台，引领带动全市企业创新水平整体跃升。</w:t>
      </w:r>
      <w:r>
        <w:rPr>
          <w:rFonts w:hint="eastAsia" w:ascii="Times New Roman" w:hAnsi="Times New Roman" w:cs="Times New Roman"/>
          <w:color w:val="000000" w:themeColor="text1"/>
          <w:szCs w:val="32"/>
          <w14:textFill>
            <w14:solidFill>
              <w14:schemeClr w14:val="tx1"/>
            </w14:solidFill>
          </w14:textFill>
        </w:rPr>
        <w:t>依托龙头企业、重点园区、高校院所建立一批集技术集成、中试熟化和工程化试验服务为一体的开放共享中试基地，强化中试基地开放共享，实现重点产业集群全覆盖。</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推动产业基础再造。</w:t>
      </w:r>
      <w:r>
        <w:rPr>
          <w:rFonts w:ascii="Times New Roman" w:hAnsi="Times New Roman" w:cs="Times New Roman"/>
          <w:color w:val="000000" w:themeColor="text1"/>
          <w14:textFill>
            <w14:solidFill>
              <w14:schemeClr w14:val="tx1"/>
            </w14:solidFill>
          </w14:textFill>
        </w:rPr>
        <w:t>围绕提高“</w:t>
      </w:r>
      <w:r>
        <w:rPr>
          <w:rFonts w:hint="eastAsia" w:ascii="Times New Roman" w:hAnsi="Times New Roman" w:cs="Times New Roman"/>
          <w:color w:val="000000" w:themeColor="text1"/>
          <w:lang w:val="en-US" w:eastAsia="zh-CN"/>
          <w14:textFill>
            <w14:solidFill>
              <w14:schemeClr w14:val="tx1"/>
            </w14:solidFill>
          </w14:textFill>
        </w:rPr>
        <w:t>五</w:t>
      </w:r>
      <w:r>
        <w:rPr>
          <w:rFonts w:ascii="Times New Roman" w:hAnsi="Times New Roman" w:cs="Times New Roman"/>
          <w:color w:val="000000" w:themeColor="text1"/>
          <w14:textFill>
            <w14:solidFill>
              <w14:schemeClr w14:val="tx1"/>
            </w14:solidFill>
          </w14:textFill>
        </w:rPr>
        <w:t>基”自给保障能力，组织实施一批重大科技攻关、成果转化和工业“</w:t>
      </w:r>
      <w:r>
        <w:rPr>
          <w:rFonts w:hint="eastAsia" w:ascii="Times New Roman" w:hAnsi="Times New Roman" w:cs="Times New Roman"/>
          <w:color w:val="000000" w:themeColor="text1"/>
          <w:lang w:val="en-US" w:eastAsia="zh-CN"/>
          <w14:textFill>
            <w14:solidFill>
              <w14:schemeClr w14:val="tx1"/>
            </w14:solidFill>
          </w14:textFill>
        </w:rPr>
        <w:t>五</w:t>
      </w:r>
      <w:r>
        <w:rPr>
          <w:rFonts w:ascii="Times New Roman" w:hAnsi="Times New Roman" w:cs="Times New Roman"/>
          <w:color w:val="000000" w:themeColor="text1"/>
          <w14:textFill>
            <w14:solidFill>
              <w14:schemeClr w14:val="tx1"/>
            </w14:solidFill>
          </w14:textFill>
        </w:rPr>
        <w:t>基”示范应用项目，支持细分领域优势企业在中硼硅、特种聚烯烃、改性聚碳酸酯、生物基高分子材料领域实现突破。落实基础领域重点产品、工艺“一条龙”计划，支持重点产业链上下游企业、研发机构围绕技术研发、标准制定、批量生产、示范推广等环节开展协同攻关，推进产品应用迭代升级。加快新一轮企业大规模技术改造，推动企业关键生产设备、生产线等多层次的技术升级，推广服务型制造和智能制造示范应用，全面提高生产效率和产品质量。落实政府采购支持创新产品政策，推动自主创新产品应用和“迭代”升级，深化保险补偿机制试点，促进首台（套）重大技术装备、首批次重点新材料、首版次软件推广应用。</w:t>
      </w:r>
    </w:p>
    <w:p>
      <w:pPr>
        <w:ind w:firstLine="643" w:firstLineChars="20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营造协同创新生态。</w:t>
      </w:r>
      <w:r>
        <w:rPr>
          <w:rFonts w:ascii="Times New Roman" w:hAnsi="Times New Roman" w:cs="Times New Roman"/>
          <w:color w:val="000000" w:themeColor="text1"/>
          <w14:textFill>
            <w14:solidFill>
              <w14:schemeClr w14:val="tx1"/>
            </w14:solidFill>
          </w14:textFill>
        </w:rPr>
        <w:t>加快推动产学研用一体化发展，持续推进与清华大学、西安交大、中科院过程所等知名科研院所开展合作，建立以企业为主体、市场为导向、产学研深度融合的技术创新体系。围绕产业链部署创新链，加强应用基础研究、应用技术研究和产业化的统筹衔接，营造开放融合的产业创新生态。加强政府资金引导，继续加大对企业研发投入的财政支持，鼓励民营企业参与关键领域核心技术创新攻关。围绕化工、装备等优势产业，成立产业链技术创新联盟，促进产业链与创新链深度融合，支持以联盟为主体开展产业链核心技术攻关</w:t>
      </w:r>
      <w:r>
        <w:rPr>
          <w:rFonts w:hint="eastAsia" w:ascii="Times New Roman" w:hAnsi="Times New Roman" w:cs="Times New Roman"/>
          <w:color w:val="000000" w:themeColor="text1"/>
          <w14:textFill>
            <w14:solidFill>
              <w14:schemeClr w14:val="tx1"/>
            </w14:solidFill>
          </w14:textFill>
        </w:rPr>
        <w:t>专项行动</w:t>
      </w:r>
      <w:r>
        <w:rPr>
          <w:rFonts w:ascii="Times New Roman" w:hAnsi="Times New Roman" w:cs="Times New Roman"/>
          <w:color w:val="000000" w:themeColor="text1"/>
          <w14:textFill>
            <w14:solidFill>
              <w14:schemeClr w14:val="tx1"/>
            </w14:solidFill>
          </w14:textFill>
        </w:rPr>
        <w:t>。</w:t>
      </w: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87" w:name="_Toc62834791"/>
      <w:bookmarkStart w:id="88" w:name="_Toc21303"/>
      <w:bookmarkStart w:id="89" w:name="_Toc7290"/>
      <w:r>
        <w:rPr>
          <w:rFonts w:ascii="Times New Roman" w:hAnsi="Times New Roman" w:cs="Times New Roman"/>
          <w:color w:val="000000" w:themeColor="text1"/>
          <w14:textFill>
            <w14:solidFill>
              <w14:schemeClr w14:val="tx1"/>
            </w14:solidFill>
          </w14:textFill>
        </w:rPr>
        <w:t>二、</w:t>
      </w:r>
      <w:bookmarkEnd w:id="87"/>
      <w:r>
        <w:rPr>
          <w:rFonts w:ascii="Times New Roman" w:hAnsi="Times New Roman" w:cs="Times New Roman"/>
          <w:color w:val="000000" w:themeColor="text1"/>
          <w14:textFill>
            <w14:solidFill>
              <w14:schemeClr w14:val="tx1"/>
            </w14:solidFill>
          </w14:textFill>
        </w:rPr>
        <w:t>强化数字赋能，释放产业发展动能</w:t>
      </w:r>
      <w:bookmarkEnd w:id="88"/>
      <w:bookmarkEnd w:id="89"/>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深化新一代信息技术应用，</w:t>
      </w:r>
      <w:r>
        <w:rPr>
          <w:rFonts w:hint="default" w:ascii="Times New Roman" w:hAnsi="Times New Roman" w:cs="Times New Roman"/>
          <w:color w:val="000000" w:themeColor="text1"/>
          <w:lang w:val="en-US" w:eastAsia="zh-CN"/>
          <w14:textFill>
            <w14:solidFill>
              <w14:schemeClr w14:val="tx1"/>
            </w14:solidFill>
          </w14:textFill>
        </w:rPr>
        <w:t>大力推进产业数字化转型，</w:t>
      </w:r>
      <w:r>
        <w:rPr>
          <w:rFonts w:ascii="Times New Roman" w:hAnsi="Times New Roman" w:cs="Times New Roman"/>
          <w:color w:val="000000" w:themeColor="text1"/>
          <w14:textFill>
            <w14:solidFill>
              <w14:schemeClr w14:val="tx1"/>
            </w14:solidFill>
          </w14:textFill>
        </w:rPr>
        <w:t>分步开展数字化制造普及、网络化制造示范和智能化制造探索，</w:t>
      </w:r>
      <w:r>
        <w:rPr>
          <w:rFonts w:hint="default" w:ascii="Times New Roman" w:hAnsi="Times New Roman" w:cs="Times New Roman"/>
          <w:color w:val="000000" w:themeColor="text1"/>
          <w:lang w:val="en-US" w:eastAsia="zh-CN"/>
          <w14:textFill>
            <w14:solidFill>
              <w14:schemeClr w14:val="tx1"/>
            </w14:solidFill>
          </w14:textFill>
        </w:rPr>
        <w:t>培育壮大数字产业</w:t>
      </w:r>
      <w:r>
        <w:rPr>
          <w:rFonts w:ascii="Times New Roman" w:hAnsi="Times New Roman" w:cs="Times New Roman"/>
          <w:color w:val="000000" w:themeColor="text1"/>
          <w14:textFill>
            <w14:solidFill>
              <w14:schemeClr w14:val="tx1"/>
            </w14:solidFill>
          </w14:textFill>
        </w:rPr>
        <w:t>，培育新业态新模式。</w:t>
      </w:r>
    </w:p>
    <w:p>
      <w:pPr>
        <w:spacing w:line="600" w:lineRule="exact"/>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加快数字化转型。</w:t>
      </w:r>
      <w:r>
        <w:rPr>
          <w:rFonts w:ascii="Times New Roman" w:hAnsi="Times New Roman" w:cs="Times New Roman"/>
          <w:color w:val="000000" w:themeColor="text1"/>
          <w14:textFill>
            <w14:solidFill>
              <w14:schemeClr w14:val="tx1"/>
            </w14:solidFill>
          </w14:textFill>
        </w:rPr>
        <w:t>打造智慧园区，率先将新型化工基地打造成为数字经济示范园区。提高</w:t>
      </w:r>
      <w:r>
        <w:rPr>
          <w:rFonts w:hint="eastAsia" w:ascii="Times New Roman" w:hAnsi="Times New Roman" w:cs="Times New Roman"/>
          <w:color w:val="000000" w:themeColor="text1"/>
          <w:lang w:val="en-US" w:eastAsia="zh-CN"/>
          <w14:textFill>
            <w14:solidFill>
              <w14:schemeClr w14:val="tx1"/>
            </w14:solidFill>
          </w14:textFill>
        </w:rPr>
        <w:t>重点</w:t>
      </w:r>
      <w:r>
        <w:rPr>
          <w:rFonts w:ascii="Times New Roman" w:hAnsi="Times New Roman" w:cs="Times New Roman"/>
          <w:color w:val="000000" w:themeColor="text1"/>
          <w14:textFill>
            <w14:solidFill>
              <w14:schemeClr w14:val="tx1"/>
            </w14:solidFill>
          </w14:textFill>
        </w:rPr>
        <w:t>行业智能化管控水平，推动食品、轻纺、医药等行业原料控制、质量管理等关键环节及全过程信息化应用。支持企业开展“哑设备”改造，提升核心装备和关键工序的数字化水平，实现设备间实时数据交互与协同生产，打通生产线数据链。引导龙头企业构建产品、设备和产线的数字孪生模型，全面采集和汇聚工艺参数、设备运行、质量检测、物料配送、进度管理等现场数据，</w:t>
      </w:r>
      <w:r>
        <w:rPr>
          <w:rFonts w:hint="eastAsia" w:ascii="Times New Roman" w:hAnsi="Times New Roman" w:cs="Times New Roman"/>
          <w:color w:val="000000" w:themeColor="text1"/>
          <w14:textFill>
            <w14:solidFill>
              <w14:schemeClr w14:val="tx1"/>
            </w14:solidFill>
          </w14:textFill>
        </w:rPr>
        <w:t>提高工业大数据利用能效，</w:t>
      </w:r>
      <w:r>
        <w:rPr>
          <w:rFonts w:ascii="Times New Roman" w:hAnsi="Times New Roman" w:cs="Times New Roman"/>
          <w:color w:val="000000" w:themeColor="text1"/>
          <w14:textFill>
            <w14:solidFill>
              <w14:schemeClr w14:val="tx1"/>
            </w14:solidFill>
          </w14:textFill>
        </w:rPr>
        <w:t>实现产品设计和制造环节的虚实交互、动态优化。引导制造业企业与工业互联网平台、工业电子商务平台以及消费互联网平台合作，利用平台上的行业领域知识库、工具库、模型库以及微服务组件，加快数字化转型。</w:t>
      </w:r>
      <w:r>
        <w:rPr>
          <w:rFonts w:hint="eastAsia" w:ascii="Times New Roman" w:hAnsi="Times New Roman" w:cs="Times New Roman"/>
          <w:color w:val="000000" w:themeColor="text1"/>
          <w:szCs w:val="32"/>
          <w:lang w:val="en-US" w:eastAsia="zh-CN"/>
          <w14:textFill>
            <w14:solidFill>
              <w14:schemeClr w14:val="tx1"/>
            </w14:solidFill>
          </w14:textFill>
        </w:rPr>
        <w:t>推动开发区国家级</w:t>
      </w:r>
      <w:r>
        <w:rPr>
          <w:rFonts w:ascii="Times New Roman" w:hAnsi="Times New Roman" w:cs="Times New Roman"/>
          <w:color w:val="000000" w:themeColor="text1"/>
          <w:szCs w:val="32"/>
          <w14:textFill>
            <w14:solidFill>
              <w14:schemeClr w14:val="tx1"/>
            </w14:solidFill>
          </w14:textFill>
        </w:rPr>
        <w:t>新型工业化示范</w:t>
      </w:r>
      <w:r>
        <w:rPr>
          <w:rFonts w:hint="eastAsia" w:ascii="Times New Roman" w:hAnsi="Times New Roman" w:cs="Times New Roman"/>
          <w:color w:val="000000" w:themeColor="text1"/>
          <w:szCs w:val="32"/>
          <w14:textFill>
            <w14:solidFill>
              <w14:schemeClr w14:val="tx1"/>
            </w14:solidFill>
          </w14:textFill>
        </w:rPr>
        <w:t>基地</w:t>
      </w:r>
      <w:r>
        <w:rPr>
          <w:rFonts w:ascii="Times New Roman" w:hAnsi="Times New Roman" w:cs="Times New Roman"/>
          <w:color w:val="000000" w:themeColor="text1"/>
          <w:szCs w:val="32"/>
          <w14:textFill>
            <w14:solidFill>
              <w14:schemeClr w14:val="tx1"/>
            </w14:solidFill>
          </w14:textFill>
        </w:rPr>
        <w:t>数字化转型，带动产业链</w:t>
      </w:r>
      <w:r>
        <w:rPr>
          <w:rFonts w:hint="eastAsia" w:ascii="Times New Roman" w:hAnsi="Times New Roman" w:cs="Times New Roman"/>
          <w:color w:val="000000" w:themeColor="text1"/>
          <w:szCs w:val="32"/>
          <w14:textFill>
            <w14:solidFill>
              <w14:schemeClr w14:val="tx1"/>
            </w14:solidFill>
          </w14:textFill>
        </w:rPr>
        <w:t>整体</w:t>
      </w:r>
      <w:r>
        <w:rPr>
          <w:rFonts w:ascii="Times New Roman" w:hAnsi="Times New Roman" w:cs="Times New Roman"/>
          <w:color w:val="000000" w:themeColor="text1"/>
          <w:szCs w:val="32"/>
          <w14:textFill>
            <w14:solidFill>
              <w14:schemeClr w14:val="tx1"/>
            </w14:solidFill>
          </w14:textFill>
        </w:rPr>
        <w:t>数字化升级。</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深化智能化改造。</w:t>
      </w:r>
      <w:r>
        <w:rPr>
          <w:rFonts w:ascii="Times New Roman" w:hAnsi="Times New Roman" w:cs="Times New Roman"/>
          <w:color w:val="000000" w:themeColor="text1"/>
          <w14:textFill>
            <w14:solidFill>
              <w14:schemeClr w14:val="tx1"/>
            </w14:solidFill>
          </w14:textFill>
        </w:rPr>
        <w:t>实施智能化改造专项计划，持续创建智能工厂、智能车间和服务型制造示范企业，根据处在机械化、自动化、信息化、数字化等不同阶段不同规模不同行业的企业差异性，通过加速扩大政府指导覆盖范围，与智能制造系统解决方案供应商开展深入合作等渠道，为装备制造、食品加工等传统企业提供“一对一”智能化诊断服务，量身定做智能改造整体解决方案，推动企业在两化融合贯标、对标，中小企业提档进阶、有序提升，逐步实现企业“上云用数赋智”全覆盖。</w:t>
      </w:r>
      <w:r>
        <w:rPr>
          <w:rFonts w:ascii="Times New Roman" w:hAnsi="Times New Roman" w:cs="Times New Roman"/>
          <w:color w:val="000000" w:themeColor="text1"/>
          <w:szCs w:val="32"/>
          <w14:textFill>
            <w14:solidFill>
              <w14:schemeClr w14:val="tx1"/>
            </w14:solidFill>
          </w14:textFill>
        </w:rPr>
        <w:t>引导中小企业开展精益管理提升活动，支持中小企业持续开展针对车间内工序、单元或模块的智能化微改造、微创新，打好智能化改造基础。</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推动“企业上云”。</w:t>
      </w:r>
      <w:r>
        <w:rPr>
          <w:rFonts w:ascii="Times New Roman" w:hAnsi="Times New Roman" w:cs="Times New Roman"/>
          <w:color w:val="000000" w:themeColor="text1"/>
          <w14:textFill>
            <w14:solidFill>
              <w14:schemeClr w14:val="tx1"/>
            </w14:solidFill>
          </w14:textFill>
        </w:rPr>
        <w:t>深入实施“企业上云”专项行动，立足我市产业结构特点和优势集群智能化升级需求，引进鼓励云服务商向中小企业开放平台接口、数据、计算能力等资源，为企业上云提供更丰富更实用的云计算产品、服务和应用解决方案，提升中小企业二次开发能力。提升深度用云水平，推动企业从资源上云逐步向管理上云、业务上云、数据上云升级，逐步实现云计算深度应用，打造一批通过业务重构和数据整合提升企业价值链的深度用云标杆企业。鼓励各</w:t>
      </w:r>
      <w:r>
        <w:rPr>
          <w:rFonts w:hint="eastAsia" w:ascii="Times New Roman" w:hAnsi="Times New Roman" w:cs="Times New Roman"/>
          <w:color w:val="000000" w:themeColor="text1"/>
          <w:lang w:val="en-US" w:eastAsia="zh-CN"/>
          <w14:textFill>
            <w14:solidFill>
              <w14:schemeClr w14:val="tx1"/>
            </w14:solidFill>
          </w14:textFill>
        </w:rPr>
        <w:t>县（区）</w:t>
      </w:r>
      <w:r>
        <w:rPr>
          <w:rFonts w:ascii="Times New Roman" w:hAnsi="Times New Roman" w:cs="Times New Roman"/>
          <w:color w:val="000000" w:themeColor="text1"/>
          <w14:textFill>
            <w14:solidFill>
              <w14:schemeClr w14:val="tx1"/>
            </w14:solidFill>
          </w14:textFill>
        </w:rPr>
        <w:t>通过财税支持、政府购买服务等方式，帮助中小企业从云上获取资源和应用服务，满足研发设计、生产制造、经营管理、市场营销等业务系统云化需求。</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加速布局新基建产业。</w:t>
      </w:r>
      <w:r>
        <w:rPr>
          <w:rFonts w:ascii="Times New Roman" w:hAnsi="Times New Roman" w:cs="Times New Roman"/>
          <w:color w:val="000000" w:themeColor="text1"/>
          <w14:textFill>
            <w14:solidFill>
              <w14:schemeClr w14:val="tx1"/>
            </w14:solidFill>
          </w14:textFill>
        </w:rPr>
        <w:t>以经开区电子化学品园区、大数据智慧产业园等专业园区建设为契机，大力引进传感器、机器人、5G相关设备、3D打印等智能制造企业和高端研发机构。强化信息技术服务重点企业（派亚尼尔、中原油田信息中心）与中科院、信通院等科研院所合作，深化5G、人工智能、北斗导航等技术与制造业创新融合，支持5G等技术在工业互联网、智能制造、智慧物流、智慧采购等领域的应用。</w:t>
      </w: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90" w:name="_Toc62834793"/>
      <w:bookmarkStart w:id="91" w:name="_Toc19040"/>
      <w:bookmarkStart w:id="92" w:name="_Toc14639"/>
      <w:bookmarkStart w:id="93" w:name="_Toc62834792"/>
      <w:bookmarkStart w:id="94" w:name="_Toc9662"/>
      <w:r>
        <w:rPr>
          <w:rFonts w:hint="eastAsia" w:ascii="Times New Roman" w:hAnsi="Times New Roman" w:cs="Times New Roman"/>
          <w:color w:val="000000" w:themeColor="text1"/>
          <w:lang w:val="en-US" w:eastAsia="zh-CN"/>
          <w14:textFill>
            <w14:solidFill>
              <w14:schemeClr w14:val="tx1"/>
            </w14:solidFill>
          </w14:textFill>
        </w:rPr>
        <w:t>三</w:t>
      </w:r>
      <w:r>
        <w:rPr>
          <w:rFonts w:ascii="Times New Roman" w:hAnsi="Times New Roman" w:cs="Times New Roman"/>
          <w:color w:val="000000" w:themeColor="text1"/>
          <w14:textFill>
            <w14:solidFill>
              <w14:schemeClr w14:val="tx1"/>
            </w14:solidFill>
          </w14:textFill>
        </w:rPr>
        <w:t>、</w:t>
      </w:r>
      <w:bookmarkEnd w:id="90"/>
      <w:r>
        <w:rPr>
          <w:rFonts w:ascii="Times New Roman" w:hAnsi="Times New Roman" w:cs="Times New Roman"/>
          <w:color w:val="000000" w:themeColor="text1"/>
          <w14:textFill>
            <w14:solidFill>
              <w14:schemeClr w14:val="tx1"/>
            </w14:solidFill>
          </w14:textFill>
        </w:rPr>
        <w:t>强化业态创新，营造</w:t>
      </w:r>
      <w:r>
        <w:rPr>
          <w:rFonts w:hint="eastAsia" w:ascii="Times New Roman" w:hAnsi="Times New Roman" w:cs="Times New Roman"/>
          <w:color w:val="000000" w:themeColor="text1"/>
          <w:lang w:val="en-US" w:eastAsia="zh-CN"/>
          <w14:textFill>
            <w14:solidFill>
              <w14:schemeClr w14:val="tx1"/>
            </w14:solidFill>
          </w14:textFill>
        </w:rPr>
        <w:t>耦合</w:t>
      </w:r>
      <w:r>
        <w:rPr>
          <w:rFonts w:ascii="Times New Roman" w:hAnsi="Times New Roman" w:cs="Times New Roman"/>
          <w:color w:val="000000" w:themeColor="text1"/>
          <w14:textFill>
            <w14:solidFill>
              <w14:schemeClr w14:val="tx1"/>
            </w14:solidFill>
          </w14:textFill>
        </w:rPr>
        <w:t>发展生态</w:t>
      </w:r>
      <w:bookmarkEnd w:id="91"/>
      <w:bookmarkEnd w:id="92"/>
    </w:p>
    <w:p>
      <w:pPr>
        <w:ind w:firstLine="640"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加快推动先进制造业与现代服务业、工业化和信息化深度融合，培育发展服务型制造，深化业务关联、链条延伸、技术渗透、平台赋能，推动先进制造业和现代服务业相融相长、耦合共生。</w:t>
      </w:r>
    </w:p>
    <w:p>
      <w:pPr>
        <w:spacing w:line="600" w:lineRule="exact"/>
        <w:ind w:firstLine="64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加快发展服务型制造。</w:t>
      </w:r>
      <w:r>
        <w:rPr>
          <w:rFonts w:hint="eastAsia" w:ascii="Times New Roman" w:hAnsi="Times New Roman" w:cs="Times New Roman"/>
          <w:bCs/>
          <w:color w:val="000000" w:themeColor="text1"/>
          <w:lang w:val="en-US" w:eastAsia="zh-CN"/>
          <w14:textFill>
            <w14:solidFill>
              <w14:schemeClr w14:val="tx1"/>
            </w14:solidFill>
          </w14:textFill>
        </w:rPr>
        <w:t>支持</w:t>
      </w:r>
      <w:r>
        <w:rPr>
          <w:rFonts w:ascii="Times New Roman" w:hAnsi="Times New Roman" w:cs="Times New Roman"/>
          <w:bCs/>
          <w:color w:val="000000" w:themeColor="text1"/>
          <w14:textFill>
            <w14:solidFill>
              <w14:schemeClr w14:val="tx1"/>
            </w14:solidFill>
          </w14:textFill>
        </w:rPr>
        <w:t>装备制造、节能环保等领域企业建设“硬件+软件+平台+服务”集成系统，为客户提供总集成总承包服务。支持石油装备制造大力发展技术咨询、工程施工、运维管理等专业化服务；食品加工产业</w:t>
      </w:r>
      <w:r>
        <w:rPr>
          <w:rFonts w:hint="eastAsia" w:ascii="Times New Roman" w:hAnsi="Times New Roman" w:cs="Times New Roman"/>
          <w:bCs/>
          <w:color w:val="000000" w:themeColor="text1"/>
          <w:lang w:val="en-US" w:eastAsia="zh-CN"/>
          <w14:textFill>
            <w14:solidFill>
              <w14:schemeClr w14:val="tx1"/>
            </w14:solidFill>
          </w14:textFill>
        </w:rPr>
        <w:t>配套</w:t>
      </w:r>
      <w:r>
        <w:rPr>
          <w:rFonts w:ascii="Times New Roman" w:hAnsi="Times New Roman" w:cs="Times New Roman"/>
          <w:bCs/>
          <w:color w:val="000000" w:themeColor="text1"/>
          <w14:textFill>
            <w14:solidFill>
              <w14:schemeClr w14:val="tx1"/>
            </w14:solidFill>
          </w14:textFill>
        </w:rPr>
        <w:t>发展冷链物流，打造食品行业全产业链条。</w:t>
      </w:r>
      <w:r>
        <w:rPr>
          <w:rFonts w:hint="eastAsia" w:ascii="Times New Roman" w:hAnsi="Times New Roman" w:cs="Times New Roman"/>
          <w:bCs/>
          <w:color w:val="000000" w:themeColor="text1"/>
          <w:lang w:val="en-US" w:eastAsia="zh-CN"/>
          <w14:textFill>
            <w14:solidFill>
              <w14:schemeClr w14:val="tx1"/>
            </w14:solidFill>
          </w14:textFill>
        </w:rPr>
        <w:t>鼓励</w:t>
      </w:r>
      <w:r>
        <w:rPr>
          <w:rFonts w:ascii="Times New Roman" w:hAnsi="Times New Roman" w:cs="Times New Roman"/>
          <w:bCs/>
          <w:color w:val="000000" w:themeColor="text1"/>
          <w14:textFill>
            <w14:solidFill>
              <w14:schemeClr w14:val="tx1"/>
            </w14:solidFill>
          </w14:textFill>
        </w:rPr>
        <w:t>现代家居等</w:t>
      </w:r>
      <w:r>
        <w:rPr>
          <w:rFonts w:hint="eastAsia" w:ascii="Times New Roman" w:hAnsi="Times New Roman" w:cs="Times New Roman"/>
          <w:bCs/>
          <w:color w:val="000000" w:themeColor="text1"/>
          <w:lang w:val="en-US" w:eastAsia="zh-CN"/>
          <w14:textFill>
            <w14:solidFill>
              <w14:schemeClr w14:val="tx1"/>
            </w14:solidFill>
          </w14:textFill>
        </w:rPr>
        <w:t>传统</w:t>
      </w:r>
      <w:r>
        <w:rPr>
          <w:rFonts w:ascii="Times New Roman" w:hAnsi="Times New Roman" w:cs="Times New Roman"/>
          <w:bCs/>
          <w:color w:val="000000" w:themeColor="text1"/>
          <w14:textFill>
            <w14:solidFill>
              <w14:schemeClr w14:val="tx1"/>
            </w14:solidFill>
          </w14:textFill>
        </w:rPr>
        <w:t>产业发展服务型制造新业态，推动家居向智能化、个性化、定制化转型发展，完善品牌营销、物流配送、辅料配件等生产体系。加快推广应用濮耐股份总集成总承包服务、龙丰纸业供应链管理等新型制造模式，持续加强制造业与服务业融合提升。</w:t>
      </w:r>
      <w:r>
        <w:rPr>
          <w:rFonts w:ascii="Times New Roman" w:hAnsi="Times New Roman" w:cs="Times New Roman"/>
          <w:color w:val="000000" w:themeColor="text1"/>
          <w14:textFill>
            <w14:solidFill>
              <w14:schemeClr w14:val="tx1"/>
            </w14:solidFill>
          </w14:textFill>
        </w:rPr>
        <w:t>推动</w:t>
      </w:r>
      <w:r>
        <w:rPr>
          <w:rFonts w:hint="default" w:ascii="Times New Roman" w:hAnsi="Times New Roman" w:cs="Times New Roman"/>
          <w:color w:val="000000" w:themeColor="text1"/>
          <w:lang w:val="en-US" w:eastAsia="zh-CN"/>
          <w14:textFill>
            <w14:solidFill>
              <w14:schemeClr w14:val="tx1"/>
            </w14:solidFill>
          </w14:textFill>
        </w:rPr>
        <w:t>锐驰高科</w:t>
      </w:r>
      <w:r>
        <w:rPr>
          <w:rFonts w:hint="eastAsia" w:ascii="Times New Roman" w:hAnsi="Times New Roman" w:cs="Times New Roman"/>
          <w:color w:val="000000" w:themeColor="text1"/>
          <w:lang w:val="en-US" w:eastAsia="zh-CN"/>
          <w14:textFill>
            <w14:solidFill>
              <w14:schemeClr w14:val="tx1"/>
            </w14:solidFill>
          </w14:textFill>
        </w:rPr>
        <w:t>等企业</w:t>
      </w:r>
      <w:r>
        <w:rPr>
          <w:rFonts w:ascii="Times New Roman" w:hAnsi="Times New Roman" w:cs="Times New Roman"/>
          <w:color w:val="000000" w:themeColor="text1"/>
          <w14:textFill>
            <w14:solidFill>
              <w14:schemeClr w14:val="tx1"/>
            </w14:solidFill>
          </w14:textFill>
        </w:rPr>
        <w:t>向产品</w:t>
      </w:r>
      <w:r>
        <w:rPr>
          <w:rFonts w:ascii="Times New Roman" w:hAnsi="Times New Roman" w:cs="Times New Roman"/>
          <w:color w:val="000000" w:themeColor="text1"/>
          <w:szCs w:val="32"/>
          <w14:textFill>
            <w14:solidFill>
              <w14:schemeClr w14:val="tx1"/>
            </w14:solidFill>
          </w14:textFill>
        </w:rPr>
        <w:t>和专业服务解决方案提供商转型，深化早期研发介入合作，提供定向开发服务。</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促进两化深度融合。</w:t>
      </w:r>
      <w:r>
        <w:rPr>
          <w:rFonts w:ascii="Times New Roman" w:hAnsi="Times New Roman" w:cs="Times New Roman"/>
          <w:bCs/>
          <w:color w:val="000000" w:themeColor="text1"/>
          <w14:textFill>
            <w14:solidFill>
              <w14:schemeClr w14:val="tx1"/>
            </w14:solidFill>
          </w14:textFill>
        </w:rPr>
        <w:t>以化工、食品加工等</w:t>
      </w:r>
      <w:r>
        <w:rPr>
          <w:rFonts w:hint="eastAsia" w:ascii="Times New Roman" w:hAnsi="Times New Roman" w:cs="Times New Roman"/>
          <w:bCs/>
          <w:color w:val="000000" w:themeColor="text1"/>
          <w:lang w:val="en-US" w:eastAsia="zh-CN"/>
          <w14:textFill>
            <w14:solidFill>
              <w14:schemeClr w14:val="tx1"/>
            </w14:solidFill>
          </w14:textFill>
        </w:rPr>
        <w:t>行业</w:t>
      </w:r>
      <w:r>
        <w:rPr>
          <w:rFonts w:ascii="Times New Roman" w:hAnsi="Times New Roman" w:cs="Times New Roman"/>
          <w:bCs/>
          <w:color w:val="000000" w:themeColor="text1"/>
          <w14:textFill>
            <w14:solidFill>
              <w14:schemeClr w14:val="tx1"/>
            </w14:solidFill>
          </w14:textFill>
        </w:rPr>
        <w:t>为重点，加快推进两化融合、智能制造深度应用。强化5G与制造业融合，打造工业互联网，建设工业云平台，促进制造模式向数字化、网络化、智能化、服务化方向发展，不断催生新产品、新业态、新模式。开展应用推广和创新服务活动，为企业提供研发设计、数据管理、协同管理和工程服务等新型集成服务和知识资源共享服务。大力扶持信息咨询服务业发展，推进企业智慧化管理进程，帮助企业利用信息技术优化生产工艺，提升管理决策水平，全面推动着信息产业和制造业的融合创新。</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培育两业融合发展新模式。</w:t>
      </w:r>
      <w:r>
        <w:rPr>
          <w:rFonts w:ascii="Times New Roman" w:hAnsi="Times New Roman" w:cs="Times New Roman"/>
          <w:bCs/>
          <w:color w:val="000000" w:themeColor="text1"/>
          <w14:textFill>
            <w14:solidFill>
              <w14:schemeClr w14:val="tx1"/>
            </w14:solidFill>
          </w14:textFill>
        </w:rPr>
        <w:t>围绕重点产业，深化信息技术赋能，积极培育总集成总承包、综合解决方案、个性化定制、产品全生命周期管理、供应链管理、共享制造、远程运维等新模式。支持研发设计、电子商务等服务企业发挥优势，通过委托制造、品牌授权等方式向制造环节拓展。引导工业互联网平台丰富协同应用生态，构建数字化、网络化、智能化制造和服务体系，催生共享制造、分布式制造、装备能效优化、产品衍生服务、设备健康管理等两业融合发展新模式。深化研发、生产、流通、消费等环节关联，加快业态模式创新升级，实现制造先进精准、服务丰富优质、流程灵活高效、模式互惠多元。</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大力发展生产性服务业。</w:t>
      </w:r>
      <w:r>
        <w:rPr>
          <w:rFonts w:ascii="Times New Roman" w:hAnsi="Times New Roman" w:cs="Times New Roman"/>
          <w:bCs/>
          <w:color w:val="000000" w:themeColor="text1"/>
          <w14:textFill>
            <w14:solidFill>
              <w14:schemeClr w14:val="tx1"/>
            </w14:solidFill>
          </w14:textFill>
        </w:rPr>
        <w:t>加快发展工业设计、现代物流、电子商务等生产性服务业，推动生产性服务业向专业化和价值链高端延伸，</w:t>
      </w:r>
      <w:r>
        <w:rPr>
          <w:rFonts w:hint="eastAsia" w:ascii="Times New Roman" w:hAnsi="Times New Roman" w:cs="Times New Roman"/>
          <w:color w:val="000000" w:themeColor="text1"/>
          <w14:textFill>
            <w14:solidFill>
              <w14:schemeClr w14:val="tx1"/>
            </w14:solidFill>
          </w14:textFill>
        </w:rPr>
        <w:t>引导生产性服务业企业以创意设计、数据分析、服务流量等要素嵌入引领制造新模式</w:t>
      </w:r>
      <w:r>
        <w:rPr>
          <w:rFonts w:ascii="Times New Roman" w:hAnsi="Times New Roman" w:cs="Times New Roman"/>
          <w:bCs/>
          <w:color w:val="000000" w:themeColor="text1"/>
          <w14:textFill>
            <w14:solidFill>
              <w14:schemeClr w14:val="tx1"/>
            </w14:solidFill>
          </w14:textFill>
        </w:rPr>
        <w:t>。支持有条件的电子商务、物流快递等企业延伸价值链，搭建工业设计、共享制造、供应链管理等专业服务平台，构建若干以平台型企业为主导的生态圈，为制造业提供专业化、定制化、平台化服务。支持有条件的企业创建</w:t>
      </w:r>
      <w:r>
        <w:rPr>
          <w:rFonts w:hint="eastAsia" w:ascii="Times New Roman" w:hAnsi="Times New Roman" w:cs="Times New Roman"/>
          <w:bCs/>
          <w:color w:val="000000" w:themeColor="text1"/>
          <w:lang w:val="en-US" w:eastAsia="zh-CN"/>
          <w14:textFill>
            <w14:solidFill>
              <w14:schemeClr w14:val="tx1"/>
            </w14:solidFill>
          </w14:textFill>
        </w:rPr>
        <w:t>国家级</w:t>
      </w:r>
      <w:r>
        <w:rPr>
          <w:rFonts w:ascii="Times New Roman" w:hAnsi="Times New Roman" w:cs="Times New Roman"/>
          <w:bCs/>
          <w:color w:val="000000" w:themeColor="text1"/>
          <w14:textFill>
            <w14:solidFill>
              <w14:schemeClr w14:val="tx1"/>
            </w14:solidFill>
          </w14:textFill>
        </w:rPr>
        <w:t>工业设计中心。挖掘工业遗产和企业、园区、基地历史文化底蕴，培育文化创意产业园，吸引工业设计、研发创意、信息服务、软件等业态集聚，打造高能级生产性服务业集聚区。</w:t>
      </w:r>
    </w:p>
    <w:p>
      <w:pPr>
        <w:pStyle w:val="5"/>
        <w:spacing w:line="240" w:lineRule="auto"/>
        <w:ind w:firstLine="640"/>
        <w:rPr>
          <w:rFonts w:hint="default" w:ascii="Times New Roman" w:hAnsi="Times New Roman" w:eastAsia="黑体" w:cs="Times New Roman"/>
          <w:color w:val="000000" w:themeColor="text1"/>
          <w:lang w:val="en-US" w:eastAsia="zh-CN"/>
          <w14:textFill>
            <w14:solidFill>
              <w14:schemeClr w14:val="tx1"/>
            </w14:solidFill>
          </w14:textFill>
        </w:rPr>
      </w:pPr>
      <w:bookmarkStart w:id="95" w:name="_Toc62834794"/>
      <w:bookmarkStart w:id="96" w:name="_Toc1800"/>
      <w:bookmarkStart w:id="97" w:name="_Toc8806"/>
      <w:r>
        <w:rPr>
          <w:rFonts w:hint="eastAsia" w:ascii="Times New Roman" w:hAnsi="Times New Roman" w:cs="Times New Roman"/>
          <w:color w:val="000000" w:themeColor="text1"/>
          <w:lang w:val="en-US" w:eastAsia="zh-CN"/>
          <w14:textFill>
            <w14:solidFill>
              <w14:schemeClr w14:val="tx1"/>
            </w14:solidFill>
          </w14:textFill>
        </w:rPr>
        <w:t>四</w:t>
      </w:r>
      <w:r>
        <w:rPr>
          <w:rFonts w:ascii="Times New Roman" w:hAnsi="Times New Roman" w:cs="Times New Roman"/>
          <w:color w:val="000000" w:themeColor="text1"/>
          <w14:textFill>
            <w14:solidFill>
              <w14:schemeClr w14:val="tx1"/>
            </w14:solidFill>
          </w14:textFill>
        </w:rPr>
        <w:t>、</w:t>
      </w:r>
      <w:bookmarkEnd w:id="95"/>
      <w:r>
        <w:rPr>
          <w:rFonts w:ascii="Times New Roman" w:hAnsi="Times New Roman" w:cs="Times New Roman"/>
          <w:color w:val="000000" w:themeColor="text1"/>
          <w14:textFill>
            <w14:solidFill>
              <w14:schemeClr w14:val="tx1"/>
            </w14:solidFill>
          </w14:textFill>
        </w:rPr>
        <w:t>强化</w:t>
      </w:r>
      <w:r>
        <w:rPr>
          <w:rFonts w:hint="eastAsia" w:ascii="Times New Roman" w:hAnsi="Times New Roman" w:cs="Times New Roman"/>
          <w:color w:val="000000" w:themeColor="text1"/>
          <w:lang w:val="en-US" w:eastAsia="zh-CN"/>
          <w14:textFill>
            <w14:solidFill>
              <w14:schemeClr w14:val="tx1"/>
            </w14:solidFill>
          </w14:textFill>
        </w:rPr>
        <w:t>集群</w:t>
      </w:r>
      <w:r>
        <w:rPr>
          <w:rFonts w:ascii="Times New Roman" w:hAnsi="Times New Roman" w:cs="Times New Roman"/>
          <w:color w:val="000000" w:themeColor="text1"/>
          <w14:textFill>
            <w14:solidFill>
              <w14:schemeClr w14:val="tx1"/>
            </w14:solidFill>
          </w14:textFill>
        </w:rPr>
        <w:t>效应，培育</w:t>
      </w:r>
      <w:r>
        <w:rPr>
          <w:rFonts w:hint="eastAsia" w:ascii="Times New Roman" w:hAnsi="Times New Roman" w:cs="Times New Roman"/>
          <w:color w:val="000000" w:themeColor="text1"/>
          <w:lang w:val="en-US" w:eastAsia="zh-CN"/>
          <w14:textFill>
            <w14:solidFill>
              <w14:schemeClr w14:val="tx1"/>
            </w14:solidFill>
          </w14:textFill>
        </w:rPr>
        <w:t>群链</w:t>
      </w:r>
      <w:bookmarkEnd w:id="96"/>
      <w:r>
        <w:rPr>
          <w:rFonts w:hint="eastAsia" w:ascii="Times New Roman" w:hAnsi="Times New Roman" w:cs="Times New Roman"/>
          <w:color w:val="000000" w:themeColor="text1"/>
          <w:lang w:val="en-US" w:eastAsia="zh-CN"/>
          <w14:textFill>
            <w14:solidFill>
              <w14:schemeClr w14:val="tx1"/>
            </w14:solidFill>
          </w14:textFill>
        </w:rPr>
        <w:t>共生体系</w:t>
      </w:r>
      <w:bookmarkEnd w:id="97"/>
    </w:p>
    <w:p>
      <w:pPr>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坚持对标顶级、创造一流、打造卓越，完善</w:t>
      </w:r>
      <w:r>
        <w:rPr>
          <w:rFonts w:hint="eastAsia"/>
          <w:color w:val="000000" w:themeColor="text1"/>
          <w14:textFill>
            <w14:solidFill>
              <w14:schemeClr w14:val="tx1"/>
            </w14:solidFill>
          </w14:textFill>
        </w:rPr>
        <w:t>载体建设</w:t>
      </w:r>
      <w:r>
        <w:rPr>
          <w:color w:val="000000" w:themeColor="text1"/>
          <w14:textFill>
            <w14:solidFill>
              <w14:schemeClr w14:val="tx1"/>
            </w14:solidFill>
          </w14:textFill>
        </w:rPr>
        <w:t>，丰富产业生态，</w:t>
      </w:r>
      <w:r>
        <w:rPr>
          <w:rFonts w:hint="eastAsia"/>
          <w:color w:val="000000" w:themeColor="text1"/>
          <w14:textFill>
            <w14:solidFill>
              <w14:schemeClr w14:val="tx1"/>
            </w14:solidFill>
          </w14:textFill>
        </w:rPr>
        <w:t>推动群链共生，</w:t>
      </w:r>
      <w:r>
        <w:rPr>
          <w:color w:val="000000" w:themeColor="text1"/>
          <w14:textFill>
            <w14:solidFill>
              <w14:schemeClr w14:val="tx1"/>
            </w14:solidFill>
          </w14:textFill>
        </w:rPr>
        <w:t>提升集群能级，推动产业链优化升级</w:t>
      </w:r>
      <w:r>
        <w:rPr>
          <w:rFonts w:hint="eastAsia"/>
          <w:color w:val="000000" w:themeColor="text1"/>
          <w14:textFill>
            <w14:solidFill>
              <w14:schemeClr w14:val="tx1"/>
            </w14:solidFill>
          </w14:textFill>
        </w:rPr>
        <w:t>，培育</w:t>
      </w:r>
      <w:r>
        <w:rPr>
          <w:color w:val="000000" w:themeColor="text1"/>
          <w14:textFill>
            <w14:solidFill>
              <w14:schemeClr w14:val="tx1"/>
            </w14:solidFill>
          </w14:textFill>
        </w:rPr>
        <w:t>一批优势产业集群和</w:t>
      </w:r>
      <w:r>
        <w:rPr>
          <w:rFonts w:hint="eastAsia"/>
          <w:color w:val="000000" w:themeColor="text1"/>
          <w14:textFill>
            <w14:solidFill>
              <w14:schemeClr w14:val="tx1"/>
            </w14:solidFill>
          </w14:textFill>
        </w:rPr>
        <w:t>现代化</w:t>
      </w:r>
      <w:r>
        <w:rPr>
          <w:color w:val="000000" w:themeColor="text1"/>
          <w14:textFill>
            <w14:solidFill>
              <w14:schemeClr w14:val="tx1"/>
            </w14:solidFill>
          </w14:textFill>
        </w:rPr>
        <w:t>产业链</w:t>
      </w:r>
      <w:r>
        <w:rPr>
          <w:rFonts w:hint="eastAsia"/>
          <w:color w:val="000000" w:themeColor="text1"/>
          <w14:textFill>
            <w14:solidFill>
              <w14:schemeClr w14:val="tx1"/>
            </w14:solidFill>
          </w14:textFill>
        </w:rPr>
        <w:t>，打赢产业基础高级化、产业链现代化攻坚战</w:t>
      </w:r>
      <w:r>
        <w:rPr>
          <w:color w:val="000000" w:themeColor="text1"/>
          <w14:textFill>
            <w14:solidFill>
              <w14:schemeClr w14:val="tx1"/>
            </w14:solidFill>
          </w14:textFill>
        </w:rPr>
        <w:t>。</w:t>
      </w:r>
    </w:p>
    <w:p>
      <w:pPr>
        <w:spacing w:line="600" w:lineRule="exact"/>
        <w:ind w:firstLine="643" w:firstLineChars="200"/>
        <w:rPr>
          <w:rFonts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培育高能级制造业集群。</w:t>
      </w:r>
      <w:r>
        <w:rPr>
          <w:rFonts w:hint="eastAsia" w:ascii="Times New Roman" w:hAnsi="Times New Roman" w:cs="Times New Roman"/>
          <w:color w:val="000000" w:themeColor="text1"/>
          <w:szCs w:val="32"/>
          <w14:textFill>
            <w14:solidFill>
              <w14:schemeClr w14:val="tx1"/>
            </w14:solidFill>
          </w14:textFill>
        </w:rPr>
        <w:t>实施先进制造业集群培育行动，</w:t>
      </w:r>
      <w:r>
        <w:rPr>
          <w:rFonts w:ascii="Times New Roman" w:hAnsi="Times New Roman" w:cs="Times New Roman"/>
          <w:color w:val="000000" w:themeColor="text1"/>
          <w:szCs w:val="32"/>
          <w14:textFill>
            <w14:solidFill>
              <w14:schemeClr w14:val="tx1"/>
            </w14:solidFill>
          </w14:textFill>
        </w:rPr>
        <w:t>对标最好最优最先进，锻造集群长板，补齐集群短板，推动产业由集聚发展向集群发展全面提升。立足产业基础和比较优势</w:t>
      </w:r>
      <w:r>
        <w:rPr>
          <w:rFonts w:hint="eastAsia" w:ascii="Times New Roman" w:hAnsi="Times New Roman" w:cs="Times New Roman"/>
          <w:color w:val="000000" w:themeColor="text1"/>
          <w:szCs w:val="32"/>
          <w14:textFill>
            <w14:solidFill>
              <w14:schemeClr w14:val="tx1"/>
            </w14:solidFill>
          </w14:textFill>
        </w:rPr>
        <w:t>，</w:t>
      </w:r>
      <w:r>
        <w:rPr>
          <w:rFonts w:hint="eastAsia" w:ascii="仿宋" w:hAnsi="仿宋" w:eastAsia="仿宋" w:cs="仿宋"/>
          <w:color w:val="000000" w:themeColor="text1"/>
          <w:szCs w:val="32"/>
          <w14:textFill>
            <w14:solidFill>
              <w14:schemeClr w14:val="tx1"/>
            </w14:solidFill>
          </w14:textFill>
        </w:rPr>
        <w:t>按照</w:t>
      </w:r>
      <w:r>
        <w:rPr>
          <w:rFonts w:hint="default" w:ascii="Times New Roman" w:hAnsi="Times New Roman" w:cs="Times New Roman"/>
          <w:color w:val="000000" w:themeColor="text1"/>
          <w:szCs w:val="32"/>
          <w14:textFill>
            <w14:solidFill>
              <w14:schemeClr w14:val="tx1"/>
            </w14:solidFill>
          </w14:textFill>
        </w:rPr>
        <w:t>“一群多链、聚链成群”的原则，</w:t>
      </w:r>
      <w:r>
        <w:rPr>
          <w:rFonts w:hint="default" w:ascii="Times New Roman" w:hAnsi="Times New Roman" w:cs="Times New Roman"/>
          <w:color w:val="000000" w:themeColor="text1"/>
          <w:szCs w:val="32"/>
          <w:lang w:val="en-US" w:eastAsia="zh-CN"/>
          <w14:textFill>
            <w14:solidFill>
              <w14:schemeClr w14:val="tx1"/>
            </w14:solidFill>
          </w14:textFill>
        </w:rPr>
        <w:t>重点培育新材料、装备制造</w:t>
      </w:r>
      <w:r>
        <w:rPr>
          <w:rFonts w:hint="default" w:ascii="Times New Roman" w:hAnsi="Times New Roman" w:cs="Times New Roman"/>
          <w:color w:val="000000" w:themeColor="text1"/>
          <w:szCs w:val="32"/>
          <w14:textFill>
            <w14:solidFill>
              <w14:schemeClr w14:val="tx1"/>
            </w14:solidFill>
          </w14:textFill>
        </w:rPr>
        <w:t>等</w:t>
      </w:r>
      <w:r>
        <w:rPr>
          <w:rFonts w:hint="default" w:ascii="Times New Roman" w:hAnsi="Times New Roman" w:cs="Times New Roman"/>
          <w:color w:val="000000" w:themeColor="text1"/>
          <w:szCs w:val="32"/>
          <w:lang w:val="en-US" w:eastAsia="zh-CN"/>
          <w14:textFill>
            <w14:solidFill>
              <w14:schemeClr w14:val="tx1"/>
            </w14:solidFill>
          </w14:textFill>
        </w:rPr>
        <w:t>9大产业集群</w:t>
      </w:r>
      <w:r>
        <w:rPr>
          <w:rFonts w:hint="default" w:ascii="Times New Roman" w:hAnsi="Times New Roman" w:cs="Times New Roman"/>
          <w:color w:val="000000" w:themeColor="text1"/>
          <w:szCs w:val="32"/>
          <w14:textFill>
            <w14:solidFill>
              <w14:schemeClr w14:val="tx1"/>
            </w14:solidFill>
          </w14:textFill>
        </w:rPr>
        <w:t>和</w:t>
      </w:r>
      <w:r>
        <w:rPr>
          <w:rFonts w:hint="default" w:ascii="Times New Roman" w:hAnsi="Times New Roman" w:cs="Times New Roman"/>
          <w:color w:val="000000" w:themeColor="text1"/>
          <w:szCs w:val="32"/>
          <w:lang w:val="en-US" w:eastAsia="zh-CN"/>
          <w14:textFill>
            <w14:solidFill>
              <w14:schemeClr w14:val="tx1"/>
            </w14:solidFill>
          </w14:textFill>
        </w:rPr>
        <w:t>聚碳新材料、高端装备等17个产业链</w:t>
      </w:r>
      <w:r>
        <w:rPr>
          <w:rFonts w:hint="default" w:ascii="Times New Roman" w:hAnsi="Times New Roman" w:cs="Times New Roman"/>
          <w:color w:val="000000" w:themeColor="text1"/>
          <w:szCs w:val="32"/>
          <w14:textFill>
            <w14:solidFill>
              <w14:schemeClr w14:val="tx1"/>
            </w14:solidFill>
          </w14:textFill>
        </w:rPr>
        <w:t>。提高产业集群的创新能力，强化前沿引领技术、“卡脖子”技术、关键核心技术、颠覆性技术上的突破和应用，</w:t>
      </w:r>
      <w:r>
        <w:rPr>
          <w:rFonts w:hint="default" w:ascii="Times New Roman" w:hAnsi="Times New Roman" w:cs="Times New Roman"/>
          <w:color w:val="000000" w:themeColor="text1"/>
          <w:szCs w:val="32"/>
          <w:lang w:val="en-US" w:eastAsia="zh-CN"/>
          <w14:textFill>
            <w14:solidFill>
              <w14:schemeClr w14:val="tx1"/>
            </w14:solidFill>
          </w14:textFill>
        </w:rPr>
        <w:t>打造国家级</w:t>
      </w:r>
      <w:r>
        <w:rPr>
          <w:rFonts w:hint="default" w:ascii="Times New Roman" w:hAnsi="Times New Roman" w:cs="Times New Roman"/>
          <w:color w:val="000000" w:themeColor="text1"/>
          <w:szCs w:val="32"/>
          <w14:textFill>
            <w14:solidFill>
              <w14:schemeClr w14:val="tx1"/>
            </w14:solidFill>
          </w14:textFill>
        </w:rPr>
        <w:t>制造业创新中心。优化集群生态，培土奠基产业生态圈层，实现集群内大中小企业实现融通共赢发展。</w:t>
      </w:r>
    </w:p>
    <w:p>
      <w:pPr>
        <w:spacing w:line="600" w:lineRule="exact"/>
        <w:ind w:firstLine="643" w:firstLineChars="200"/>
        <w:rPr>
          <w:rFonts w:hint="eastAsia" w:ascii="Times New Roman" w:hAnsi="Times New Roman" w:cs="Times New Roman"/>
          <w:bCs/>
          <w:color w:val="000000" w:themeColor="text1"/>
          <w:szCs w:val="32"/>
          <w:lang w:eastAsia="zh-CN"/>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提升产业链现代化水平。</w:t>
      </w:r>
      <w:r>
        <w:rPr>
          <w:rFonts w:hint="eastAsia" w:ascii="仿宋_GB2312" w:hAnsi="仿宋_GB2312" w:cs="仿宋_GB2312"/>
          <w:color w:val="000000" w:themeColor="text1"/>
          <w:szCs w:val="32"/>
          <w14:textFill>
            <w14:solidFill>
              <w14:schemeClr w14:val="tx1"/>
            </w14:solidFill>
          </w14:textFill>
        </w:rPr>
        <w:t>坚持“锻长板与补短板相结合”，</w:t>
      </w:r>
      <w:r>
        <w:rPr>
          <w:rFonts w:hint="eastAsia" w:ascii="Times New Roman" w:hAnsi="Times New Roman" w:cs="Times New Roman"/>
          <w:bCs/>
          <w:color w:val="000000" w:themeColor="text1"/>
          <w:szCs w:val="32"/>
          <w14:textFill>
            <w14:solidFill>
              <w14:schemeClr w14:val="tx1"/>
            </w14:solidFill>
          </w14:textFill>
        </w:rPr>
        <w:t>全面梳理重点产业链企业、技术、人才、平台、项目、融资、用地等清单，强化“挂图作战”，实施</w:t>
      </w:r>
      <w:r>
        <w:rPr>
          <w:rFonts w:hint="eastAsia" w:ascii="Times New Roman" w:hAnsi="Times New Roman" w:cs="Times New Roman"/>
          <w:bCs/>
          <w:color w:val="000000" w:themeColor="text1"/>
          <w:szCs w:val="32"/>
          <w:lang w:val="en-US" w:eastAsia="zh-CN"/>
          <w14:textFill>
            <w14:solidFill>
              <w14:schemeClr w14:val="tx1"/>
            </w14:solidFill>
          </w14:textFill>
        </w:rPr>
        <w:t>科技创新、基础能力提升等</w:t>
      </w:r>
      <w:r>
        <w:rPr>
          <w:rFonts w:hint="eastAsia" w:ascii="Times New Roman" w:hAnsi="Times New Roman" w:cs="Times New Roman"/>
          <w:bCs/>
          <w:color w:val="000000" w:themeColor="text1"/>
          <w:szCs w:val="32"/>
          <w14:textFill>
            <w14:solidFill>
              <w14:schemeClr w14:val="tx1"/>
            </w14:solidFill>
          </w14:textFill>
        </w:rPr>
        <w:t>“六大</w:t>
      </w:r>
      <w:r>
        <w:rPr>
          <w:rFonts w:hint="eastAsia" w:ascii="Times New Roman" w:hAnsi="Times New Roman" w:cs="Times New Roman"/>
          <w:bCs/>
          <w:color w:val="000000" w:themeColor="text1"/>
          <w:szCs w:val="32"/>
          <w:lang w:val="en-US" w:eastAsia="zh-CN"/>
          <w14:textFill>
            <w14:solidFill>
              <w14:schemeClr w14:val="tx1"/>
            </w14:solidFill>
          </w14:textFill>
        </w:rPr>
        <w:t>专项</w:t>
      </w:r>
      <w:r>
        <w:rPr>
          <w:rFonts w:hint="eastAsia" w:ascii="Times New Roman" w:hAnsi="Times New Roman" w:cs="Times New Roman"/>
          <w:bCs/>
          <w:color w:val="000000" w:themeColor="text1"/>
          <w:szCs w:val="32"/>
          <w14:textFill>
            <w14:solidFill>
              <w14:schemeClr w14:val="tx1"/>
            </w14:solidFill>
          </w14:textFill>
        </w:rPr>
        <w:t>”，培育一批产业生态主导型“链主”企业、供应链综合服务商及专业服务商和集群促进机构</w:t>
      </w:r>
      <w:r>
        <w:rPr>
          <w:rFonts w:hint="eastAsia" w:ascii="Times New Roman" w:hAnsi="Times New Roman" w:cs="Times New Roman"/>
          <w:bCs/>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全面推行重点集群产业链链长和产业链联盟盟会长</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lang w:val="en-US" w:eastAsia="zh-CN"/>
          <w14:textFill>
            <w14:solidFill>
              <w14:schemeClr w14:val="tx1"/>
            </w14:solidFill>
          </w14:textFill>
        </w:rPr>
        <w:t>双长制</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建设重点集群产业链“智慧大脑”，完善重点集群监测预警机制，积极稳链护链，着力形成安全高效、稳固多元的产业链供应链体系。完善产业链生态，围绕产业链、创新链、供应链、要素链、制度链，打通痛点、堵点、难点、重点、关键点，推动五链高效衔接、深度耦合、协同一体，实现流程再造、优势再造。</w:t>
      </w:r>
    </w:p>
    <w:p>
      <w:pPr>
        <w:spacing w:line="600" w:lineRule="exact"/>
        <w:ind w:firstLine="643" w:firstLineChars="200"/>
        <w:rPr>
          <w:rFonts w:hint="eastAsia"/>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提高产业安全水平。</w:t>
      </w:r>
      <w:r>
        <w:rPr>
          <w:rFonts w:hint="eastAsia"/>
          <w:color w:val="000000" w:themeColor="text1"/>
          <w:lang w:val="en-US" w:eastAsia="zh-CN"/>
          <w14:textFill>
            <w14:solidFill>
              <w14:schemeClr w14:val="tx1"/>
            </w14:solidFill>
          </w14:textFill>
        </w:rPr>
        <w:t>统筹发展与安全，建立优势产业链安全监测和预警机制，完善产业链安全动态管理机制，强化优势产业链核心环节管控，增强产业链安全性和韧性。按照“谁主管谁负责、谁运行谁负责、谁使用谁负责”的原则，构建基于工业互联网的安全感知、监测、预警、处置及评估体系，增强工业信息安全风险防控能力。健全完善工业行业安全生产和消防安全管理体系，持续推动城镇人口密集区危险化学品生产企业搬迁改造工作。推动安全（应急）产业加快发展，加强行业安全监管，提升安全生产水平，实现高质量发展与高标准安全良性互动。</w:t>
      </w: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98" w:name="_Toc62834795"/>
      <w:bookmarkStart w:id="99" w:name="_Toc5080"/>
      <w:bookmarkStart w:id="100" w:name="_Toc10222"/>
      <w:r>
        <w:rPr>
          <w:rFonts w:hint="eastAsia" w:ascii="Times New Roman" w:hAnsi="Times New Roman" w:cs="Times New Roman"/>
          <w:color w:val="000000" w:themeColor="text1"/>
          <w:lang w:val="en-US" w:eastAsia="zh-CN"/>
          <w14:textFill>
            <w14:solidFill>
              <w14:schemeClr w14:val="tx1"/>
            </w14:solidFill>
          </w14:textFill>
        </w:rPr>
        <w:t>五</w:t>
      </w:r>
      <w:r>
        <w:rPr>
          <w:rFonts w:ascii="Times New Roman" w:hAnsi="Times New Roman" w:cs="Times New Roman"/>
          <w:color w:val="000000" w:themeColor="text1"/>
          <w14:textFill>
            <w14:solidFill>
              <w14:schemeClr w14:val="tx1"/>
            </w14:solidFill>
          </w14:textFill>
        </w:rPr>
        <w:t>、</w:t>
      </w:r>
      <w:bookmarkEnd w:id="98"/>
      <w:r>
        <w:rPr>
          <w:rFonts w:ascii="Times New Roman" w:hAnsi="Times New Roman" w:cs="Times New Roman"/>
          <w:color w:val="000000" w:themeColor="text1"/>
          <w14:textFill>
            <w14:solidFill>
              <w14:schemeClr w14:val="tx1"/>
            </w14:solidFill>
          </w14:textFill>
        </w:rPr>
        <w:t>强化</w:t>
      </w:r>
      <w:r>
        <w:rPr>
          <w:rFonts w:hint="eastAsia" w:ascii="Times New Roman" w:hAnsi="Times New Roman" w:cs="Times New Roman"/>
          <w:color w:val="000000" w:themeColor="text1"/>
          <w:lang w:val="en-US" w:eastAsia="zh-CN"/>
          <w14:textFill>
            <w14:solidFill>
              <w14:schemeClr w14:val="tx1"/>
            </w14:solidFill>
          </w14:textFill>
        </w:rPr>
        <w:t>雁阵效应</w:t>
      </w:r>
      <w:r>
        <w:rPr>
          <w:rFonts w:ascii="Times New Roman" w:hAnsi="Times New Roman" w:cs="Times New Roman"/>
          <w:color w:val="000000" w:themeColor="text1"/>
          <w14:textFill>
            <w14:solidFill>
              <w14:schemeClr w14:val="tx1"/>
            </w14:solidFill>
          </w14:textFill>
        </w:rPr>
        <w:t>，提升融通发展能力</w:t>
      </w:r>
      <w:bookmarkEnd w:id="99"/>
      <w:bookmarkEnd w:id="100"/>
    </w:p>
    <w:p>
      <w:pPr>
        <w:ind w:firstLine="640" w:firstLineChars="200"/>
        <w:rPr>
          <w:rFonts w:ascii="Times New Roman" w:hAnsi="Times New Roman" w:cs="Times New Roman"/>
          <w:b/>
          <w:bCs/>
          <w:color w:val="000000" w:themeColor="text1"/>
          <w14:textFill>
            <w14:solidFill>
              <w14:schemeClr w14:val="tx1"/>
            </w14:solidFill>
          </w14:textFill>
        </w:rPr>
      </w:pPr>
      <w:r>
        <w:rPr>
          <w:color w:val="000000" w:themeColor="text1"/>
          <w14:textFill>
            <w14:solidFill>
              <w14:schemeClr w14:val="tx1"/>
            </w14:solidFill>
          </w14:textFill>
        </w:rPr>
        <w:t>发挥头雁企业引领支撑作用，提高中小企业专业化水平，</w:t>
      </w:r>
      <w:r>
        <w:rPr>
          <w:rFonts w:ascii="Times New Roman" w:hAnsi="Times New Roman" w:cs="Times New Roman"/>
          <w:color w:val="000000" w:themeColor="text1"/>
          <w14:textFill>
            <w14:solidFill>
              <w14:schemeClr w14:val="tx1"/>
            </w14:solidFill>
          </w14:textFill>
        </w:rPr>
        <w:t>力争单项冠军企业实现零突破，</w:t>
      </w:r>
      <w:r>
        <w:rPr>
          <w:color w:val="000000" w:themeColor="text1"/>
          <w14:textFill>
            <w14:solidFill>
              <w14:schemeClr w14:val="tx1"/>
            </w14:solidFill>
          </w14:textFill>
        </w:rPr>
        <w:t>提升大中小企业融通发展水平，</w:t>
      </w:r>
      <w:bookmarkStart w:id="101" w:name="_Hlk85382314"/>
      <w:r>
        <w:rPr>
          <w:rFonts w:hint="eastAsia" w:ascii="Times New Roman" w:hAnsi="Times New Roman" w:cs="Times New Roman"/>
          <w:color w:val="000000" w:themeColor="text1"/>
          <w:szCs w:val="32"/>
          <w14:textFill>
            <w14:solidFill>
              <w14:schemeClr w14:val="tx1"/>
            </w14:solidFill>
          </w14:textFill>
        </w:rPr>
        <w:t>持续推进“个转企、小升规、规改股、股上市”，</w:t>
      </w:r>
      <w:bookmarkEnd w:id="101"/>
      <w:r>
        <w:rPr>
          <w:color w:val="000000" w:themeColor="text1"/>
          <w14:textFill>
            <w14:solidFill>
              <w14:schemeClr w14:val="tx1"/>
            </w14:solidFill>
          </w14:textFill>
        </w:rPr>
        <w:t>打造支撑</w:t>
      </w:r>
      <w:r>
        <w:rPr>
          <w:rFonts w:hint="eastAsia"/>
          <w:color w:val="000000" w:themeColor="text1"/>
          <w:lang w:val="en-US" w:eastAsia="zh-CN"/>
          <w14:textFill>
            <w14:solidFill>
              <w14:schemeClr w14:val="tx1"/>
            </w14:solidFill>
          </w14:textFill>
        </w:rPr>
        <w:t>濮阳</w:t>
      </w:r>
      <w:r>
        <w:rPr>
          <w:color w:val="000000" w:themeColor="text1"/>
          <w14:textFill>
            <w14:solidFill>
              <w14:schemeClr w14:val="tx1"/>
            </w14:solidFill>
          </w14:textFill>
        </w:rPr>
        <w:t>制造业高质量发展的企业“雁阵”。</w:t>
      </w:r>
    </w:p>
    <w:p>
      <w:pPr>
        <w:widowControl/>
        <w:spacing w:line="600" w:lineRule="exact"/>
        <w:ind w:firstLine="643" w:firstLineChars="200"/>
        <w:jc w:val="left"/>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做</w:t>
      </w:r>
      <w:r>
        <w:rPr>
          <w:rFonts w:hint="eastAsia" w:ascii="Times New Roman" w:hAnsi="Times New Roman" w:cs="Times New Roman"/>
          <w:b/>
          <w:bCs/>
          <w:color w:val="000000" w:themeColor="text1"/>
          <w14:textFill>
            <w14:solidFill>
              <w14:schemeClr w14:val="tx1"/>
            </w14:solidFill>
          </w14:textFill>
        </w:rPr>
        <w:t>培育“专精特新”企业</w:t>
      </w:r>
      <w:r>
        <w:rPr>
          <w:rFonts w:hint="eastAsia" w:ascii="Times New Roman" w:hAnsi="Times New Roman" w:cs="Times New Roman"/>
          <w:b/>
          <w:bCs/>
          <w:color w:val="000000" w:themeColor="text1"/>
          <w:lang w:eastAsia="zh-CN"/>
          <w14:textFill>
            <w14:solidFill>
              <w14:schemeClr w14:val="tx1"/>
            </w14:solidFill>
          </w14:textFill>
        </w:rPr>
        <w:t>。</w:t>
      </w:r>
      <w:r>
        <w:rPr>
          <w:rFonts w:hint="eastAsia" w:ascii="仿宋_GB2312" w:hAnsi="Times New Roman" w:cs="Times New Roman"/>
          <w:color w:val="000000" w:themeColor="text1"/>
          <w:szCs w:val="32"/>
          <w14:textFill>
            <w14:solidFill>
              <w14:schemeClr w14:val="tx1"/>
            </w14:solidFill>
          </w14:textFill>
        </w:rPr>
        <w:t>深入开展“专精特新”中小企业培育，完善“专精特新”中小企业培育库，引导“专精特新”中小企业提升技术创新能力、市场竞争力和品牌影响力。支持“专精特新”企业运用</w:t>
      </w:r>
      <w:r>
        <w:rPr>
          <w:rFonts w:hint="eastAsia" w:ascii="仿宋_GB2312" w:hAnsi="Times New Roman" w:cs="Times New Roman"/>
          <w:color w:val="000000" w:themeColor="text1"/>
          <w14:textFill>
            <w14:solidFill>
              <w14:schemeClr w14:val="tx1"/>
            </w14:solidFill>
          </w14:textFill>
        </w:rPr>
        <w:t>新技术、新材料、新装备、新工艺，培育新产品、新业态、新模式。支持</w:t>
      </w:r>
      <w:r>
        <w:rPr>
          <w:rFonts w:hint="eastAsia" w:ascii="仿宋_GB2312" w:hAnsi="Times New Roman" w:cs="Times New Roman"/>
          <w:color w:val="000000" w:themeColor="text1"/>
          <w:szCs w:val="32"/>
          <w14:textFill>
            <w14:solidFill>
              <w14:schemeClr w14:val="tx1"/>
            </w14:solidFill>
          </w14:textFill>
        </w:rPr>
        <w:t>“专精特新”企业积极对接“头雁”、单项冠军等企业供应链、产业链、创新链体系，提升细分领域和关键环节的核心竞争力。依托开发区，深入推进中小企业公共服务示范平台和小型微型企业创业创新示范基地建设。</w:t>
      </w:r>
    </w:p>
    <w:p>
      <w:pPr>
        <w:tabs>
          <w:tab w:val="left" w:pos="1514"/>
        </w:tabs>
        <w:spacing w:line="600" w:lineRule="exact"/>
        <w:ind w:firstLine="640"/>
        <w:rPr>
          <w:rFonts w:ascii="Times New Roman" w:hAnsi="Times New Roman" w:cs="Times New Roman"/>
          <w:color w:val="000000" w:themeColor="text1"/>
          <w:kern w:val="0"/>
          <w:sz w:val="31"/>
          <w:szCs w:val="3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强做优头雁企业。</w:t>
      </w:r>
      <w:r>
        <w:rPr>
          <w:rFonts w:ascii="Times New Roman" w:hAnsi="Times New Roman" w:cs="Times New Roman"/>
          <w:color w:val="000000" w:themeColor="text1"/>
          <w14:textFill>
            <w14:solidFill>
              <w14:schemeClr w14:val="tx1"/>
            </w14:solidFill>
          </w14:textFill>
        </w:rPr>
        <w:t>实施头雁企业培育</w:t>
      </w:r>
      <w:r>
        <w:rPr>
          <w:rFonts w:hint="eastAsia" w:ascii="Times New Roman" w:hAnsi="Times New Roman" w:cs="Times New Roman"/>
          <w:color w:val="000000" w:themeColor="text1"/>
          <w14:textFill>
            <w14:solidFill>
              <w14:schemeClr w14:val="tx1"/>
            </w14:solidFill>
          </w14:textFill>
        </w:rPr>
        <w:t>行动</w:t>
      </w:r>
      <w:r>
        <w:rPr>
          <w:rFonts w:ascii="Times New Roman" w:hAnsi="Times New Roman" w:cs="Times New Roman"/>
          <w:color w:val="000000" w:themeColor="text1"/>
          <w14:textFill>
            <w14:solidFill>
              <w14:schemeClr w14:val="tx1"/>
            </w14:solidFill>
          </w14:textFill>
        </w:rPr>
        <w:t>，围绕全</w:t>
      </w:r>
      <w:r>
        <w:rPr>
          <w:rFonts w:hint="eastAsia" w:ascii="Times New Roman" w:hAnsi="Times New Roman" w:cs="Times New Roman"/>
          <w:color w:val="000000" w:themeColor="text1"/>
          <w:lang w:val="en-US" w:eastAsia="zh-CN"/>
          <w14:textFill>
            <w14:solidFill>
              <w14:schemeClr w14:val="tx1"/>
            </w14:solidFill>
          </w14:textFill>
        </w:rPr>
        <w:t>市</w:t>
      </w:r>
      <w:r>
        <w:rPr>
          <w:rFonts w:ascii="Times New Roman" w:hAnsi="Times New Roman" w:cs="Times New Roman"/>
          <w:color w:val="000000" w:themeColor="text1"/>
          <w14:textFill>
            <w14:solidFill>
              <w14:schemeClr w14:val="tx1"/>
            </w14:solidFill>
          </w14:textFill>
        </w:rPr>
        <w:t>重点产业集群</w:t>
      </w:r>
      <w:r>
        <w:rPr>
          <w:rFonts w:hint="eastAsia" w:ascii="Times New Roman" w:hAnsi="Times New Roman" w:cs="Times New Roman"/>
          <w:color w:val="000000" w:themeColor="text1"/>
          <w14:textFill>
            <w14:solidFill>
              <w14:schemeClr w14:val="tx1"/>
            </w14:solidFill>
          </w14:textFill>
        </w:rPr>
        <w:t>和产业链</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培育一批创新水平高、质量效益优、成长性好、带动力强的头雁企业，建成一批国家级重大创新平台，</w:t>
      </w:r>
      <w:r>
        <w:rPr>
          <w:rFonts w:hint="eastAsia" w:ascii="Times New Roman" w:hAnsi="Times New Roman" w:cs="Times New Roman"/>
          <w:color w:val="000000" w:themeColor="text1"/>
          <w:lang w:val="en-US" w:eastAsia="zh-CN"/>
          <w14:textFill>
            <w14:solidFill>
              <w14:schemeClr w14:val="tx1"/>
            </w14:solidFill>
          </w14:textFill>
        </w:rPr>
        <w:t>培育</w:t>
      </w:r>
      <w:r>
        <w:rPr>
          <w:rFonts w:hint="eastAsia" w:ascii="Times New Roman" w:hAnsi="Times New Roman" w:cs="Times New Roman"/>
          <w:color w:val="000000" w:themeColor="text1"/>
          <w14:textFill>
            <w14:solidFill>
              <w14:schemeClr w14:val="tx1"/>
            </w14:solidFill>
          </w14:textFill>
        </w:rPr>
        <w:t>一批国家级技术创新示范企业和“独角兽”企业，创建一批国家级质量标杆企业、中国质量奖获奖企业，形成以</w:t>
      </w:r>
      <w:r>
        <w:rPr>
          <w:rFonts w:hint="eastAsia" w:ascii="Times New Roman" w:hAnsi="Times New Roman" w:cs="Times New Roman"/>
          <w:color w:val="000000" w:themeColor="text1"/>
          <w:lang w:val="en-US" w:eastAsia="zh-CN"/>
          <w14:textFill>
            <w14:solidFill>
              <w14:schemeClr w14:val="tx1"/>
            </w14:solidFill>
          </w14:textFill>
        </w:rPr>
        <w:t>头</w:t>
      </w:r>
      <w:r>
        <w:rPr>
          <w:rFonts w:hint="eastAsia" w:ascii="Times New Roman" w:hAnsi="Times New Roman" w:cs="Times New Roman"/>
          <w:color w:val="000000" w:themeColor="text1"/>
          <w14:textFill>
            <w14:solidFill>
              <w14:schemeClr w14:val="tx1"/>
            </w14:solidFill>
          </w14:textFill>
        </w:rPr>
        <w:t>雁企业为引领，带动</w:t>
      </w:r>
      <w:r>
        <w:rPr>
          <w:rFonts w:hint="eastAsia" w:ascii="Times New Roman" w:hAnsi="Times New Roman" w:cs="Times New Roman"/>
          <w:color w:val="000000" w:themeColor="text1"/>
          <w:lang w:val="en-US" w:eastAsia="zh-CN"/>
          <w14:textFill>
            <w14:solidFill>
              <w14:schemeClr w14:val="tx1"/>
            </w14:solidFill>
          </w14:textFill>
        </w:rPr>
        <w:t>新材料、化工行业企业</w:t>
      </w:r>
      <w:r>
        <w:rPr>
          <w:rFonts w:hint="eastAsia" w:ascii="Times New Roman" w:hAnsi="Times New Roman" w:cs="Times New Roman"/>
          <w:color w:val="000000" w:themeColor="text1"/>
          <w14:textFill>
            <w14:solidFill>
              <w14:schemeClr w14:val="tx1"/>
            </w14:solidFill>
          </w14:textFill>
        </w:rPr>
        <w:t>和深耕细分领域的中小企业形成千亿级产业集群，群链主导力显著提升。引导头雁培育企业打造开放式“双创”平台，向中小企业开放创新资源、提供资金人才支持</w:t>
      </w:r>
      <w:r>
        <w:rPr>
          <w:rFonts w:hint="eastAsia" w:ascii="Times New Roman" w:hAnsi="Times New Roman" w:cs="Times New Roman"/>
          <w:color w:val="000000" w:themeColor="text1"/>
          <w:lang w:eastAsia="zh-CN"/>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形成大企业带动中小企业发展、中小企业为大企业注入活力的融通发展格局。</w:t>
      </w:r>
      <w:r>
        <w:rPr>
          <w:rFonts w:hint="eastAsia" w:ascii="Times New Roman" w:hAnsi="Times New Roman" w:cs="Times New Roman"/>
          <w:color w:val="000000" w:themeColor="text1"/>
          <w:szCs w:val="32"/>
          <w14:textFill>
            <w14:solidFill>
              <w14:schemeClr w14:val="tx1"/>
            </w14:solidFill>
          </w14:textFill>
        </w:rPr>
        <w:t>支持头雁</w:t>
      </w:r>
      <w:r>
        <w:rPr>
          <w:rFonts w:hint="eastAsia" w:ascii="Times New Roman" w:hAnsi="Times New Roman" w:cs="Times New Roman"/>
          <w:color w:val="000000" w:themeColor="text1"/>
          <w:szCs w:val="32"/>
          <w:lang w:val="en-US" w:eastAsia="zh-CN"/>
          <w14:textFill>
            <w14:solidFill>
              <w14:schemeClr w14:val="tx1"/>
            </w14:solidFill>
          </w14:textFill>
        </w:rPr>
        <w:t>企业创建</w:t>
      </w:r>
      <w:r>
        <w:rPr>
          <w:rFonts w:hint="eastAsia" w:ascii="Times New Roman" w:hAnsi="Times New Roman" w:cs="Times New Roman"/>
          <w:color w:val="000000" w:themeColor="text1"/>
          <w:szCs w:val="32"/>
          <w14:textFill>
            <w14:solidFill>
              <w14:schemeClr w14:val="tx1"/>
            </w14:solidFill>
          </w14:textFill>
        </w:rPr>
        <w:t>“单项冠军”，总结推广“单项冠军”发展模式和成功经验，形成示范带动效应。</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创新企业融通发展模式。</w:t>
      </w:r>
      <w:r>
        <w:rPr>
          <w:rFonts w:ascii="Times New Roman" w:hAnsi="Times New Roman" w:cs="Times New Roman"/>
          <w:color w:val="000000" w:themeColor="text1"/>
          <w14:textFill>
            <w14:solidFill>
              <w14:schemeClr w14:val="tx1"/>
            </w14:solidFill>
          </w14:textFill>
        </w:rPr>
        <w:t>围绕供应链整合、创新能力共享、工业互联网平台等产业发展关键环节，深入实施“大企业培育计划”和“中小企业成长计划”，加大财政支持、突出人才支撑</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推动企业扩规模、强实力，</w:t>
      </w:r>
      <w:r>
        <w:rPr>
          <w:rFonts w:hint="eastAsia" w:ascii="Times New Roman" w:hAnsi="Times New Roman" w:cs="Times New Roman"/>
          <w:color w:val="000000" w:themeColor="text1"/>
          <w14:textFill>
            <w14:solidFill>
              <w14:schemeClr w14:val="tx1"/>
            </w14:solidFill>
          </w14:textFill>
        </w:rPr>
        <w:t>打造</w:t>
      </w:r>
      <w:r>
        <w:rPr>
          <w:rFonts w:ascii="Times New Roman" w:hAnsi="Times New Roman" w:cs="Times New Roman"/>
          <w:color w:val="000000" w:themeColor="text1"/>
          <w14:textFill>
            <w14:solidFill>
              <w14:schemeClr w14:val="tx1"/>
            </w14:solidFill>
          </w14:textFill>
        </w:rPr>
        <w:t>“专精特新”中小企业、专精特新“小巨人”企业和制造业单项冠军企业梯度培育体系。搭建大中小企业融通发展平台，分行业探索建立大中小微企业协作配套产业联盟。依托产业集聚区，引导大中小企业围绕优势产业链集聚发展，创建一批国家大中小企业融通发展特色载体。鼓励大企业与中小企业组建联合体共同参加政府在基础设施、重大工程、重点项目建设中的招标采购，引导大企业加大中小企业产品采购力度。</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大力发展优质制造。</w:t>
      </w:r>
      <w:r>
        <w:rPr>
          <w:rFonts w:ascii="Times New Roman" w:hAnsi="Times New Roman" w:cs="Times New Roman"/>
          <w:color w:val="000000" w:themeColor="text1"/>
          <w14:textFill>
            <w14:solidFill>
              <w14:schemeClr w14:val="tx1"/>
            </w14:solidFill>
          </w14:textFill>
        </w:rPr>
        <w:t>深入</w:t>
      </w:r>
      <w:r>
        <w:rPr>
          <w:rFonts w:hint="eastAsia" w:ascii="Times New Roman" w:hAnsi="Times New Roman" w:cs="Times New Roman"/>
          <w:color w:val="000000" w:themeColor="text1"/>
          <w:lang w:val="en-US" w:eastAsia="zh-CN"/>
          <w14:textFill>
            <w14:solidFill>
              <w14:schemeClr w14:val="tx1"/>
            </w14:solidFill>
          </w14:textFill>
        </w:rPr>
        <w:t>实施</w:t>
      </w:r>
      <w:r>
        <w:rPr>
          <w:rFonts w:ascii="Times New Roman" w:hAnsi="Times New Roman" w:cs="Times New Roman"/>
          <w:color w:val="000000" w:themeColor="text1"/>
          <w14:textFill>
            <w14:solidFill>
              <w14:schemeClr w14:val="tx1"/>
            </w14:solidFill>
          </w14:textFill>
        </w:rPr>
        <w:t>“三品”战略，持续开展质量提升行动，推动企业建立全员、全方位、全过程的质量管理体系，培育打造一批具有国际影响力的质量标杆和工业品牌培育示范企业。</w:t>
      </w:r>
      <w:r>
        <w:rPr>
          <w:rFonts w:hint="eastAsia" w:ascii="仿宋_GB2312" w:hAnsi="仿宋" w:cs="仿宋"/>
          <w:color w:val="000000" w:themeColor="text1"/>
          <w:szCs w:val="32"/>
          <w14:textFill>
            <w14:solidFill>
              <w14:schemeClr w14:val="tx1"/>
            </w14:solidFill>
          </w14:textFill>
        </w:rPr>
        <w:t>鼓励企业牵头或参与国际、国内与行业标准的制（修）订，重点支持未来产业、新兴产业领域企业制定相关行业标准，推动制定高于国家标准的团体标准，提升行业发展引领力，掌握行业发展主动权</w:t>
      </w:r>
      <w:r>
        <w:rPr>
          <w:rFonts w:ascii="Times New Roman" w:hAnsi="Times New Roman" w:cs="Times New Roman"/>
          <w:color w:val="000000" w:themeColor="text1"/>
          <w14:textFill>
            <w14:solidFill>
              <w14:schemeClr w14:val="tx1"/>
            </w14:solidFill>
          </w14:textFill>
        </w:rPr>
        <w:t>。以品牌培育经验交流和品牌诊断活动为抓手，加强集体商标、证明商标培育和保护，建设商标品牌示范基地，培育品牌产业集群。积极参加“河南制造”品牌全国行活动，支持企业参与河南制造品牌“线上拓展”行动，加强与知名消费互联网、工业品电商等平台战略合作，拓展线上市场，培育新兴品牌。</w:t>
      </w:r>
    </w:p>
    <w:p>
      <w:pPr>
        <w:pStyle w:val="5"/>
        <w:spacing w:line="240" w:lineRule="auto"/>
        <w:ind w:firstLine="640"/>
        <w:rPr>
          <w:rFonts w:hint="default" w:ascii="Times New Roman" w:hAnsi="Times New Roman" w:cs="Times New Roman"/>
          <w:color w:val="000000" w:themeColor="text1"/>
          <w:lang w:val="en-US" w:eastAsia="zh-CN"/>
          <w14:textFill>
            <w14:solidFill>
              <w14:schemeClr w14:val="tx1"/>
            </w14:solidFill>
          </w14:textFill>
        </w:rPr>
      </w:pPr>
      <w:bookmarkStart w:id="102" w:name="_Toc5693"/>
      <w:bookmarkStart w:id="103" w:name="_Toc62834796"/>
      <w:bookmarkStart w:id="104" w:name="_Toc7619"/>
      <w:r>
        <w:rPr>
          <w:rFonts w:hint="eastAsia" w:ascii="Times New Roman" w:hAnsi="Times New Roman" w:cs="Times New Roman"/>
          <w:color w:val="000000" w:themeColor="text1"/>
          <w:lang w:val="en-US" w:eastAsia="zh-CN"/>
          <w14:textFill>
            <w14:solidFill>
              <w14:schemeClr w14:val="tx1"/>
            </w14:solidFill>
          </w14:textFill>
        </w:rPr>
        <w:t>六、强化载体作用，不断完善平台功能</w:t>
      </w:r>
      <w:bookmarkEnd w:id="102"/>
    </w:p>
    <w:p>
      <w:pPr>
        <w:spacing w:line="600" w:lineRule="exact"/>
        <w:ind w:firstLine="64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突出开发区主阵地、主战场、主引擎作用，</w:t>
      </w:r>
      <w:r>
        <w:rPr>
          <w:rFonts w:hint="eastAsia"/>
          <w:color w:val="000000" w:themeColor="text1"/>
          <w:lang w:val="en-US" w:eastAsia="zh-CN"/>
          <w14:textFill>
            <w14:solidFill>
              <w14:schemeClr w14:val="tx1"/>
            </w14:solidFill>
          </w14:textFill>
        </w:rPr>
        <w:t>着力</w:t>
      </w:r>
      <w:r>
        <w:rPr>
          <w:rFonts w:hint="eastAsia"/>
          <w:color w:val="000000" w:themeColor="text1"/>
          <w14:textFill>
            <w14:solidFill>
              <w14:schemeClr w14:val="tx1"/>
            </w14:solidFill>
          </w14:textFill>
        </w:rPr>
        <w:t>构建“一县一省级开发区”发展格局，为制造业高质量发展提供有力的载体支撑。</w:t>
      </w:r>
      <w:bookmarkStart w:id="105" w:name="_Toc88503221"/>
    </w:p>
    <w:p>
      <w:pPr>
        <w:spacing w:line="600" w:lineRule="exact"/>
        <w:ind w:firstLine="643" w:firstLineChars="200"/>
        <w:rPr>
          <w:rFonts w:hint="eastAsia" w:ascii="仿宋" w:hAnsi="仿宋" w:eastAsia="仿宋" w:cs="仿宋"/>
          <w:color w:val="000000" w:themeColor="text1"/>
          <w:szCs w:val="40"/>
          <w14:textFill>
            <w14:solidFill>
              <w14:schemeClr w14:val="tx1"/>
            </w14:solidFill>
          </w14:textFill>
        </w:rPr>
      </w:pPr>
      <w:r>
        <w:rPr>
          <w:rFonts w:hint="eastAsia"/>
          <w:b/>
          <w:bCs/>
          <w:color w:val="000000" w:themeColor="text1"/>
          <w14:textFill>
            <w14:solidFill>
              <w14:schemeClr w14:val="tx1"/>
            </w14:solidFill>
          </w14:textFill>
        </w:rPr>
        <w:t>做强开发区制造业主导产业</w:t>
      </w:r>
      <w:bookmarkEnd w:id="105"/>
      <w:r>
        <w:rPr>
          <w:rFonts w:hint="eastAsia"/>
          <w:color w:val="000000" w:themeColor="text1"/>
          <w:lang w:eastAsia="zh-CN"/>
          <w14:textFill>
            <w14:solidFill>
              <w14:schemeClr w14:val="tx1"/>
            </w14:solidFill>
          </w14:textFill>
        </w:rPr>
        <w:t>。</w:t>
      </w:r>
      <w:r>
        <w:rPr>
          <w:rFonts w:hint="eastAsia" w:ascii="仿宋" w:hAnsi="仿宋" w:eastAsia="仿宋" w:cs="仿宋"/>
          <w:color w:val="000000" w:themeColor="text1"/>
          <w:szCs w:val="40"/>
          <w14:textFill>
            <w14:solidFill>
              <w14:schemeClr w14:val="tx1"/>
            </w14:solidFill>
          </w14:textFill>
        </w:rPr>
        <w:t>结合新一轮开发区设立、调整与扩容，进一步明确各开发区主导产业定位，原则上，以先进制造业为主导的开发区，每个开发区重点发展1-2个制造业主导产业，重点培育1个战略新兴产业或未来产业。围绕前瞻布局未来产业，加快筹建布局一批未来产业专业园。引导各开发区结合主导产业定位，有序承接国内外产业转移，强化延链补链强链。支持以传统产业为主的开发区加快产业高端化转型，加快布局一批省级以上重点研发机构，提升主导产业创新能力。支持开发区培育壮大战略性新兴产业，主动融入</w:t>
      </w:r>
      <w:r>
        <w:rPr>
          <w:rFonts w:hint="eastAsia" w:ascii="仿宋" w:hAnsi="仿宋" w:eastAsia="仿宋" w:cs="仿宋"/>
          <w:color w:val="000000" w:themeColor="text1"/>
          <w:szCs w:val="40"/>
          <w:lang w:val="en-US" w:eastAsia="zh-CN"/>
          <w14:textFill>
            <w14:solidFill>
              <w14:schemeClr w14:val="tx1"/>
            </w14:solidFill>
          </w14:textFill>
        </w:rPr>
        <w:t>省、市</w:t>
      </w:r>
      <w:r>
        <w:rPr>
          <w:rFonts w:hint="eastAsia" w:ascii="仿宋" w:hAnsi="仿宋" w:eastAsia="仿宋" w:cs="仿宋"/>
          <w:color w:val="000000" w:themeColor="text1"/>
          <w:szCs w:val="40"/>
          <w14:textFill>
            <w14:solidFill>
              <w14:schemeClr w14:val="tx1"/>
            </w14:solidFill>
          </w14:textFill>
        </w:rPr>
        <w:t>重点新兴产业链条布局体系。鼓励资源型主导产业开发区加快向新兴产业链拓展、延伸，发展高附加值终端产品，打造绿色产业链供应链体系，实现优势再造，建成新旧动能转换示范区、制造业高质量发展示范区。</w:t>
      </w:r>
      <w:bookmarkStart w:id="106" w:name="_Toc88503222"/>
    </w:p>
    <w:p>
      <w:pPr>
        <w:spacing w:line="600" w:lineRule="exact"/>
        <w:ind w:firstLine="643" w:firstLineChars="200"/>
        <w:rPr>
          <w:rFonts w:hint="eastAsia" w:ascii="仿宋" w:hAnsi="仿宋" w:eastAsia="仿宋" w:cs="仿宋"/>
          <w:color w:val="000000" w:themeColor="text1"/>
          <w:szCs w:val="40"/>
          <w14:textFill>
            <w14:solidFill>
              <w14:schemeClr w14:val="tx1"/>
            </w14:solidFill>
          </w14:textFill>
        </w:rPr>
      </w:pPr>
      <w:r>
        <w:rPr>
          <w:rFonts w:hint="eastAsia"/>
          <w:b/>
          <w:bCs/>
          <w:color w:val="000000" w:themeColor="text1"/>
          <w14:textFill>
            <w14:solidFill>
              <w14:schemeClr w14:val="tx1"/>
            </w14:solidFill>
          </w14:textFill>
        </w:rPr>
        <w:t>完善开发区基础设施功能</w:t>
      </w:r>
      <w:bookmarkEnd w:id="106"/>
      <w:r>
        <w:rPr>
          <w:rFonts w:hint="eastAsia"/>
          <w:b/>
          <w:bCs/>
          <w:color w:val="000000" w:themeColor="text1"/>
          <w:lang w:eastAsia="zh-CN"/>
          <w14:textFill>
            <w14:solidFill>
              <w14:schemeClr w14:val="tx1"/>
            </w14:solidFill>
          </w14:textFill>
        </w:rPr>
        <w:t>。</w:t>
      </w:r>
      <w:r>
        <w:rPr>
          <w:rFonts w:hint="eastAsia" w:ascii="仿宋" w:hAnsi="仿宋" w:eastAsia="仿宋" w:cs="仿宋"/>
          <w:color w:val="000000" w:themeColor="text1"/>
          <w:szCs w:val="40"/>
          <w14:textFill>
            <w14:solidFill>
              <w14:schemeClr w14:val="tx1"/>
            </w14:solidFill>
          </w14:textFill>
        </w:rPr>
        <w:t>聚焦产业发展需求，按照统一规划、布局合理、功能完善的原则，盘活一批、改造一批、新建一批标准化厂房，实现入区企业“拎包入驻”。健全道路、能源、信息、供排水等基础配套设施</w:t>
      </w:r>
      <w:r>
        <w:rPr>
          <w:rFonts w:hint="eastAsia" w:ascii="仿宋" w:hAnsi="仿宋" w:eastAsia="仿宋" w:cs="仿宋"/>
          <w:color w:val="000000" w:themeColor="text1"/>
          <w:szCs w:val="40"/>
          <w:lang w:eastAsia="zh-CN"/>
          <w14:textFill>
            <w14:solidFill>
              <w14:schemeClr w14:val="tx1"/>
            </w14:solidFill>
          </w14:textFill>
        </w:rPr>
        <w:t>，</w:t>
      </w:r>
      <w:r>
        <w:rPr>
          <w:rFonts w:hint="eastAsia" w:ascii="仿宋" w:hAnsi="仿宋" w:eastAsia="仿宋" w:cs="仿宋"/>
          <w:color w:val="000000" w:themeColor="text1"/>
          <w:szCs w:val="40"/>
          <w14:textFill>
            <w14:solidFill>
              <w14:schemeClr w14:val="tx1"/>
            </w14:solidFill>
          </w14:textFill>
        </w:rPr>
        <w:t>打造区域流通中心节点。加快开发区布局互联网、大数据、云计算、场景应用等新型基础设施，在开发区试点建设一批应用场景示范工程，全方位构建高水平新型基础设施体系。推进开发区智能综合管理服务系统建设，加快传统设施数字化改造，打造高效运转的智能化园区。</w:t>
      </w:r>
      <w:bookmarkStart w:id="107" w:name="_Toc88503223"/>
    </w:p>
    <w:bookmarkEnd w:id="107"/>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108" w:name="_Toc18253"/>
      <w:r>
        <w:rPr>
          <w:rFonts w:hint="eastAsia" w:ascii="Times New Roman" w:hAnsi="Times New Roman" w:cs="Times New Roman"/>
          <w:color w:val="000000" w:themeColor="text1"/>
          <w:lang w:val="en-US" w:eastAsia="zh-CN"/>
          <w14:textFill>
            <w14:solidFill>
              <w14:schemeClr w14:val="tx1"/>
            </w14:solidFill>
          </w14:textFill>
        </w:rPr>
        <w:t>七</w:t>
      </w:r>
      <w:r>
        <w:rPr>
          <w:rFonts w:ascii="Times New Roman" w:hAnsi="Times New Roman" w:cs="Times New Roman"/>
          <w:color w:val="000000" w:themeColor="text1"/>
          <w14:textFill>
            <w14:solidFill>
              <w14:schemeClr w14:val="tx1"/>
            </w14:solidFill>
          </w14:textFill>
        </w:rPr>
        <w:t>、</w:t>
      </w:r>
      <w:bookmarkEnd w:id="103"/>
      <w:r>
        <w:rPr>
          <w:rFonts w:ascii="Times New Roman" w:hAnsi="Times New Roman" w:cs="Times New Roman"/>
          <w:color w:val="000000" w:themeColor="text1"/>
          <w14:textFill>
            <w14:solidFill>
              <w14:schemeClr w14:val="tx1"/>
            </w14:solidFill>
          </w14:textFill>
        </w:rPr>
        <w:t>强化开放合作，创共赢发展新局面</w:t>
      </w:r>
      <w:bookmarkEnd w:id="104"/>
      <w:bookmarkEnd w:id="108"/>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立足国际国内“双循环”，把牢扩大内需战略基点，放大“枢纽+开放”优势，打造国内循环的关键枢纽和国际循环的重要节点，实现更高水平对外开放。</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提高国内外产业转移</w:t>
      </w:r>
      <w:r>
        <w:rPr>
          <w:rFonts w:hint="eastAsia" w:ascii="Times New Roman" w:hAnsi="Times New Roman" w:cs="Times New Roman"/>
          <w:b/>
          <w:bCs/>
          <w:color w:val="000000" w:themeColor="text1"/>
          <w14:textFill>
            <w14:solidFill>
              <w14:schemeClr w14:val="tx1"/>
            </w14:solidFill>
          </w14:textFill>
        </w:rPr>
        <w:t>承接质量</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立足产业发展实际，结合濮阳市产业链薄弱环节，找准产业定位，明确发展重点，制定招商图谱，做到按图索骥、精准招商、错位发展。严格落实外商投资准入负面清单要求，充分利用豫沪对接、中国（郑州）产业转移系列对接活动等重大活动及平台，创新市场化、专业化、精细化招商引资机制，探索创新“头部企业”招商、 “飞地”招商、“技术团队+资本+项目”招商等新模式，主动对接世界500强企业、中国500强企业，争取引进一批化工、新能源等优质项目，持续培育壮大优势产业集群。巩固提升石油化工、装备制造、食品加工等传统优势产业，并把新基建、数字经济等新兴产业作为濮阳市承接产业转移的重要方向。</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建设高协同区域发展体系。</w:t>
      </w:r>
      <w:r>
        <w:rPr>
          <w:rFonts w:ascii="Times New Roman" w:hAnsi="Times New Roman" w:cs="Times New Roman"/>
          <w:color w:val="000000" w:themeColor="text1"/>
          <w14:textFill>
            <w14:solidFill>
              <w14:schemeClr w14:val="tx1"/>
            </w14:solidFill>
          </w14:textFill>
        </w:rPr>
        <w:t>顺应产业链、价值链布局优化规律，打造“一核两翼多极”产业发展空间布局，构建制造业高质量发展区域协同体系。发挥濮阳作为豫鲁冀省际交会区域性中心城市的区位优势，大力发展飞地经济，</w:t>
      </w:r>
      <w:r>
        <w:rPr>
          <w:rFonts w:hint="default" w:ascii="Times New Roman" w:hAnsi="Times New Roman" w:cs="Times New Roman"/>
          <w:color w:val="000000" w:themeColor="text1"/>
          <w14:textFill>
            <w14:solidFill>
              <w14:schemeClr w14:val="tx1"/>
            </w14:solidFill>
          </w14:textFill>
        </w:rPr>
        <w:t>推动濮阳与安阳、菏泽等中原城市群北部城市和省际交界城市在产业、交通等方面建立合作机制</w:t>
      </w:r>
      <w:r>
        <w:rPr>
          <w:rFonts w:ascii="Times New Roman" w:hAnsi="Times New Roman" w:cs="Times New Roman"/>
          <w:color w:val="000000" w:themeColor="text1"/>
          <w14:textFill>
            <w14:solidFill>
              <w14:schemeClr w14:val="tx1"/>
            </w14:solidFill>
          </w14:textFill>
        </w:rPr>
        <w:t>。鼓励优质企业参与区域合作与竞争，带动我市装备、技术、服务走出去，形成重点突出，协调有序的错位发展格局。</w:t>
      </w:r>
    </w:p>
    <w:p>
      <w:pPr>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提升县域制造业发展水平</w:t>
      </w:r>
      <w:r>
        <w:rPr>
          <w:rFonts w:hint="eastAsia"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深入贯彻落实县域治理“三起来”要求，引导各县立足区位特点、资源禀赋、产业基础等，聚焦培育1—2个重点攻坚的新兴产业，搭建平台，重点扶持，加快培育形成一批新的产业支撑，提升产业发展层级。加大县域制造业企业</w:t>
      </w:r>
      <w:r>
        <w:rPr>
          <w:rFonts w:hint="eastAsia" w:ascii="Times New Roman" w:hAnsi="Times New Roman" w:cs="Times New Roman"/>
          <w:color w:val="000000" w:themeColor="text1"/>
          <w:lang w:val="en-US" w:eastAsia="zh-CN"/>
          <w14:textFill>
            <w14:solidFill>
              <w14:schemeClr w14:val="tx1"/>
            </w14:solidFill>
          </w14:textFill>
        </w:rPr>
        <w:t>高端化、智能化、绿色化、服务化</w:t>
      </w:r>
      <w:r>
        <w:rPr>
          <w:rFonts w:ascii="Times New Roman" w:hAnsi="Times New Roman" w:cs="Times New Roman"/>
          <w:color w:val="000000" w:themeColor="text1"/>
          <w14:textFill>
            <w14:solidFill>
              <w14:schemeClr w14:val="tx1"/>
            </w14:solidFill>
          </w14:textFill>
        </w:rPr>
        <w:t>支持力度，推广适合县域制造业特点的改造方案，选树一批县域智能制造、绿色制造、精益管理示范标杆，形成一批县域制造业高质量发展特色模式。大力发展“回归经济”，推动返乡创业示范园区、示范项目建设，吸引各类人才返乡下乡创业创新，支持有条件的县创建省级农民工返乡创业示范县。</w:t>
      </w:r>
    </w:p>
    <w:tbl>
      <w:tblPr>
        <w:tblStyle w:val="14"/>
        <w:tblW w:w="882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8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820" w:type="dxa"/>
            <w:tcBorders>
              <w:top w:val="outset" w:color="auto" w:sz="6" w:space="0"/>
              <w:bottom w:val="outset" w:color="auto" w:sz="6" w:space="0"/>
            </w:tcBorders>
            <w:vAlign w:val="center"/>
          </w:tcPr>
          <w:p>
            <w:pPr>
              <w:spacing w:line="560" w:lineRule="exact"/>
              <w:jc w:val="center"/>
              <w:rPr>
                <w:rFonts w:ascii="Times New Roman" w:hAnsi="Times New Roman" w:cs="Times New Roman"/>
                <w:color w:val="000000" w:themeColor="text1"/>
                <w:kern w:val="0"/>
                <w:sz w:val="22"/>
                <w:szCs w:val="22"/>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专栏</w:t>
            </w:r>
            <w:r>
              <w:rPr>
                <w:rFonts w:hint="eastAsia"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 xml:space="preserve">  空间布局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10" w:hRule="atLeast"/>
          <w:jc w:val="center"/>
        </w:trPr>
        <w:tc>
          <w:tcPr>
            <w:tcW w:w="8820" w:type="dxa"/>
            <w:tcBorders>
              <w:top w:val="outset" w:color="auto" w:sz="6" w:space="0"/>
              <w:bottom w:val="outset" w:color="auto" w:sz="6" w:space="0"/>
            </w:tcBorders>
            <w:vAlign w:val="center"/>
          </w:tcPr>
          <w:p>
            <w:pPr>
              <w:spacing w:line="56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一核：以新型化工基地（工业园区、范县、濮阳县、经开区）为核心重点发展化工优势产业。“两翼”：北部地区（南乐县、清丰县）以食品加工和现代家居为主，东部地区（台前县）以羽绒及服饰和汽车零部件为主，形成传统产业发展的两大片区。“多极”：在全域范围内布局多个新兴产业，打造新的经济增长极，包括濮阳县的风电装备、南乐县的生物基等新材料、华龙区的节能环保、经开区的新一代信息技术等。</w:t>
            </w:r>
          </w:p>
        </w:tc>
      </w:tr>
    </w:tbl>
    <w:p>
      <w:pPr>
        <w:keepNext w:val="0"/>
        <w:keepLines w:val="0"/>
        <w:pageBreakBefore w:val="0"/>
        <w:widowControl w:val="0"/>
        <w:kinsoku/>
        <w:wordWrap/>
        <w:overflowPunct/>
        <w:topLinePunct w:val="0"/>
        <w:autoSpaceDE/>
        <w:autoSpaceDN/>
        <w:bidi w:val="0"/>
        <w:adjustRightInd/>
        <w:snapToGrid/>
        <w:ind w:firstLine="643" w:firstLineChars="200"/>
        <w:textAlignment w:val="auto"/>
        <w:rPr>
          <w:lang w:val="en-US" w:eastAsia="zh-CN"/>
        </w:rPr>
      </w:pPr>
      <w:bookmarkStart w:id="109" w:name="_Toc26625"/>
      <w:bookmarkStart w:id="110" w:name="_Toc21990"/>
      <w:r>
        <w:rPr>
          <w:b/>
          <w:bCs/>
          <w:lang w:val="en-US" w:eastAsia="zh-CN"/>
        </w:rPr>
        <w:t>充分利用开放载体平台。</w:t>
      </w:r>
      <w:r>
        <w:rPr>
          <w:lang w:val="en-US" w:eastAsia="zh-CN"/>
        </w:rPr>
        <w:t>更好利用中国（郑州）产业转移系列对接活动、中国（河南）国际投资贸易洽谈会、中华张姓拜祖大典暨海峡两岸张氏宗亲联谊活动、中原（濮阳）油气技术装备展览会等平台作用，争取更多国际高端展会和展商等落地，支持各县（区）、各部门举办务实管用的节会招商活动。推广国际贸易“单一窗口”应用，推动共用数据标准、共享数据信息、协同监管服务。积极融入国家“一带一路”战略，充分发挥我市化工、食品等产业优势，与“一带一路”沿线国家进行发展需求对接，建设境外生产加工基地等，拓展国际发展空间。组建“走出去”联合体，通过海外并购重组、联合共建研发基地、产业园区等方式，寻求同德国等制造强国进行合作，有效利用国外优质资源强化自身发展实力。主动融入中国（郑州）跨境电商综合试验区，加快建设开发区省级跨境电商园区，培育跨境电商产业。积极对接郑州航空港经济综合实验区，扩大对外交流合作。</w:t>
      </w:r>
      <w:bookmarkEnd w:id="109"/>
      <w:bookmarkEnd w:id="110"/>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111" w:name="_Toc16180"/>
      <w:bookmarkStart w:id="112" w:name="_Toc5655"/>
      <w:r>
        <w:rPr>
          <w:rFonts w:hint="eastAsia" w:ascii="Times New Roman" w:hAnsi="Times New Roman" w:cs="Times New Roman"/>
          <w:color w:val="000000" w:themeColor="text1"/>
          <w:lang w:val="en-US" w:eastAsia="zh-CN"/>
          <w14:textFill>
            <w14:solidFill>
              <w14:schemeClr w14:val="tx1"/>
            </w14:solidFill>
          </w14:textFill>
        </w:rPr>
        <w:t>八</w:t>
      </w:r>
      <w:r>
        <w:rPr>
          <w:rFonts w:ascii="Times New Roman" w:hAnsi="Times New Roman" w:cs="Times New Roman"/>
          <w:color w:val="000000" w:themeColor="text1"/>
          <w14:textFill>
            <w14:solidFill>
              <w14:schemeClr w14:val="tx1"/>
            </w14:solidFill>
          </w14:textFill>
        </w:rPr>
        <w:t>、强化要素保障，提高资源利用能效</w:t>
      </w:r>
      <w:bookmarkEnd w:id="111"/>
      <w:bookmarkEnd w:id="112"/>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重构资源要素配置机制，提升制造业高质量发展所需各类要素供给配置效能，实现重点产业项目、高品质低成本空间和资金扶持、人才服务、快速审批通道等的一体化高效配置。</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优化工业用地保障模式。</w:t>
      </w:r>
      <w:r>
        <w:rPr>
          <w:rFonts w:ascii="Times New Roman" w:hAnsi="Times New Roman" w:eastAsia="仿宋_GB2312" w:cs="Times New Roman"/>
          <w:color w:val="000000" w:themeColor="text1"/>
          <w14:textFill>
            <w14:solidFill>
              <w14:schemeClr w14:val="tx1"/>
            </w14:solidFill>
          </w14:textFill>
        </w:rPr>
        <w:t>在符合国土空间规划和用途管制要求前提下，调整完善产业用地政策，健全产业用地多主体多方式供地制度，推动不同产业用地类型合理转换，确保主导产业用地规模持续充足增长。</w:t>
      </w:r>
      <w:r>
        <w:rPr>
          <w:rFonts w:hint="default" w:ascii="Times New Roman" w:hAnsi="Times New Roman" w:eastAsia="仿宋_GB2312" w:cs="Times New Roman"/>
          <w:color w:val="000000" w:themeColor="text1"/>
          <w:lang w:val="en-US" w:eastAsia="zh-CN"/>
          <w14:textFill>
            <w14:solidFill>
              <w14:schemeClr w14:val="tx1"/>
            </w14:solidFill>
          </w14:textFill>
        </w:rPr>
        <w:t>推行</w:t>
      </w:r>
      <w:r>
        <w:rPr>
          <w:rFonts w:hint="default" w:ascii="Times New Roman" w:hAnsi="Times New Roman" w:eastAsia="仿宋_GB2312" w:cs="Times New Roman"/>
          <w:color w:val="000000" w:themeColor="text1"/>
          <w14:textFill>
            <w14:solidFill>
              <w14:schemeClr w14:val="tx1"/>
            </w14:solidFill>
          </w14:textFill>
        </w:rPr>
        <w:t>“亩均论英雄”综合评价和“承诺制+标准地”、模拟审批改革</w:t>
      </w:r>
      <w:r>
        <w:rPr>
          <w:rFonts w:hint="eastAsia" w:ascii="Times New Roman" w:hAnsi="Times New Roman" w:eastAsia="仿宋_GB2312" w:cs="Times New Roman"/>
          <w:color w:val="000000" w:themeColor="text1"/>
          <w:lang w:eastAsia="zh-CN"/>
          <w14:textFill>
            <w14:solidFill>
              <w14:schemeClr w14:val="tx1"/>
            </w14:solidFill>
          </w14:textFill>
        </w:rPr>
        <w:t>，</w:t>
      </w:r>
      <w:r>
        <w:rPr>
          <w:rFonts w:hint="eastAsia" w:ascii="Times New Roman" w:hAnsi="Times New Roman" w:eastAsia="仿宋_GB2312" w:cs="Times New Roman"/>
          <w:color w:val="000000" w:themeColor="text1"/>
          <w:lang w:val="en-US" w:eastAsia="zh-CN"/>
          <w14:textFill>
            <w14:solidFill>
              <w14:schemeClr w14:val="tx1"/>
            </w14:solidFill>
          </w14:textFill>
        </w:rPr>
        <w:t>变项目等地为地等项目</w:t>
      </w:r>
      <w:r>
        <w:rPr>
          <w:rFonts w:ascii="Times New Roman" w:hAnsi="Times New Roman" w:eastAsia="仿宋_GB2312" w:cs="Times New Roman"/>
          <w:color w:val="000000" w:themeColor="text1"/>
          <w14:textFill>
            <w14:solidFill>
              <w14:schemeClr w14:val="tx1"/>
            </w14:solidFill>
          </w14:textFill>
        </w:rPr>
        <w:t>。创新用地政策，鼓励土地复合利用，支持企业通过弹性年期出让、先租后让、租让结合等方式取得工业用地使用权，支持企业通过拆建、加层改造、发掘地下空间等方式提高容积率，允许对具备土地独立分宗条件的工业物业产权分割后引进优质项目。充分运用市场机制盘活存量土地和低效用地，以多种方式推进国有企业存量用地盘活利用。实行建设用地“增存挂钩”机制，按照盘活存量土地数量，奖励一定比例的新增建设用地计划指标。</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优化产业资金引导政策。</w:t>
      </w:r>
      <w:r>
        <w:rPr>
          <w:rFonts w:ascii="Times New Roman" w:hAnsi="Times New Roman" w:eastAsia="仿宋_GB2312" w:cs="Times New Roman"/>
          <w:color w:val="000000" w:themeColor="text1"/>
          <w14:textFill>
            <w14:solidFill>
              <w14:schemeClr w14:val="tx1"/>
            </w14:solidFill>
          </w14:textFill>
        </w:rPr>
        <w:t>推动政府财政资金与金融机构、社会资本有机配合，在高端制造业、科技创新型企业发展初期，充分发挥财政资金引导作用，综合运用贷款贴息、担保贷款、设备融资租赁、股权投资等方式，建立健全无偿与有偿并行、事前与事后结合的多元化扶持方式。充分发挥省先进制造业、</w:t>
      </w:r>
      <w:r>
        <w:rPr>
          <w:rFonts w:hint="default" w:ascii="Times New Roman" w:hAnsi="Times New Roman" w:eastAsia="仿宋_GB2312" w:cs="Times New Roman"/>
          <w:color w:val="000000" w:themeColor="text1"/>
          <w:lang w:val="en-US" w:eastAsia="zh-CN"/>
          <w14:textFill>
            <w14:solidFill>
              <w14:schemeClr w14:val="tx1"/>
            </w14:solidFill>
          </w14:textFill>
        </w:rPr>
        <w:t>新兴产业投资引导基金和创业投资引导基金</w:t>
      </w:r>
      <w:r>
        <w:rPr>
          <w:rFonts w:ascii="Times New Roman" w:hAnsi="Times New Roman" w:eastAsia="仿宋_GB2312" w:cs="Times New Roman"/>
          <w:color w:val="000000" w:themeColor="text1"/>
          <w14:textFill>
            <w14:solidFill>
              <w14:schemeClr w14:val="tx1"/>
            </w14:solidFill>
          </w14:textFill>
        </w:rPr>
        <w:t>等各类政府引导基金撬动作用，健全政府性融资担保体系，鼓励创业投资机构和产业投资基金投资新兴产业项目，逐步形成多元化、多渠道的新兴产业投入体系。鼓励金融机构多样化创新金融产品，开发各类中长期贷款和服务，加快推广供应链金融等新模式应用，为制造业企业发展提供更为安全便捷高效的金融服务。大力发展企业债券市场，开展民营小微企业金融服务行动，推行规上企业主办银行制。</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推进数据开放共享。</w:t>
      </w:r>
      <w:r>
        <w:rPr>
          <w:rFonts w:ascii="Times New Roman" w:hAnsi="Times New Roman" w:eastAsia="仿宋_GB2312" w:cs="Times New Roman"/>
          <w:color w:val="000000" w:themeColor="text1"/>
          <w14:textFill>
            <w14:solidFill>
              <w14:schemeClr w14:val="tx1"/>
            </w14:solidFill>
          </w14:textFill>
        </w:rPr>
        <w:t>优化经济治理基础数据库，推动各类数据资源有序开放共享，制定出台新一批数据共享责任清单，建立促进企业登记等公共数据开放和数据资源有效流动的制度规范。培育数字经济新产业、新业态和新模式，深化数字技术应用，打造一批规范化数据开发利用示范场景，创新数据交易模式，丰富数据产品种类，完善数据资产估值办法和交易定价方式，推动数据要素交易流通。发挥行业协会商会作用，推动人工智能、可穿戴设备、车联网、物联网等领域数据采集标准化。加快区块链技术在数据交易中的应用，探索数据交易监管模式，推动完善适用于大数据环境下的数据分类分级安全保护制度，加强对政务数据、企业商业秘密和个人数据的保护。</w:t>
      </w:r>
    </w:p>
    <w:p>
      <w:pPr>
        <w:pStyle w:val="2"/>
        <w:rPr>
          <w:rFonts w:hint="eastAsia" w:ascii="Times New Roman" w:hAnsi="Times New Roman" w:cs="Times New Roman"/>
          <w:color w:val="000000" w:themeColor="text1"/>
          <w:lang w:val="en-US" w:eastAsia="zh-CN"/>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引进培育专业人才。</w:t>
      </w:r>
      <w:r>
        <w:rPr>
          <w:rFonts w:ascii="Times New Roman" w:hAnsi="Times New Roman" w:eastAsia="仿宋_GB2312" w:cs="Times New Roman"/>
          <w:color w:val="000000" w:themeColor="text1"/>
          <w14:textFill>
            <w14:solidFill>
              <w14:schemeClr w14:val="tx1"/>
            </w14:solidFill>
          </w14:textFill>
        </w:rPr>
        <w:t>坚持党管人才，做好人才强市的顶层设计，探索制造业高质量发展和人才引进相结合的机制，完善人才培养、权益保障配套政策，补齐人才短板。以双招双引促进高质量发展二十三条措施为政策保障，实施“濮上英才计划”，培育或引进一批核心技术人才和高级技工。推行产教融合，推行新型学徒制、现代学徒制。优先推荐制造业领域人才申报国家各类表彰奖励，并在市级表彰中给予适当倾斜。</w:t>
      </w:r>
    </w:p>
    <w:p>
      <w:pPr>
        <w:pStyle w:val="5"/>
        <w:spacing w:line="240" w:lineRule="auto"/>
        <w:ind w:firstLine="640"/>
        <w:rPr>
          <w:rFonts w:hint="eastAsia" w:ascii="Times New Roman" w:hAnsi="Times New Roman" w:eastAsia="黑体" w:cs="Times New Roman"/>
          <w:color w:val="000000" w:themeColor="text1"/>
          <w:lang w:val="en-US" w:eastAsia="zh-CN"/>
          <w14:textFill>
            <w14:solidFill>
              <w14:schemeClr w14:val="tx1"/>
            </w14:solidFill>
          </w14:textFill>
        </w:rPr>
      </w:pPr>
      <w:bookmarkStart w:id="113" w:name="_Toc16890"/>
      <w:r>
        <w:rPr>
          <w:rFonts w:hint="eastAsia" w:ascii="Times New Roman" w:hAnsi="Times New Roman" w:cs="Times New Roman"/>
          <w:color w:val="000000" w:themeColor="text1"/>
          <w:lang w:val="en-US" w:eastAsia="zh-CN"/>
          <w14:textFill>
            <w14:solidFill>
              <w14:schemeClr w14:val="tx1"/>
            </w14:solidFill>
          </w14:textFill>
        </w:rPr>
        <w:t>九</w:t>
      </w:r>
      <w:r>
        <w:rPr>
          <w:rFonts w:ascii="Times New Roman" w:hAnsi="Times New Roman" w:cs="Times New Roman"/>
          <w:color w:val="000000" w:themeColor="text1"/>
          <w14:textFill>
            <w14:solidFill>
              <w14:schemeClr w14:val="tx1"/>
            </w14:solidFill>
          </w14:textFill>
        </w:rPr>
        <w:t>、</w:t>
      </w:r>
      <w:bookmarkEnd w:id="93"/>
      <w:r>
        <w:rPr>
          <w:rFonts w:hint="eastAsia" w:ascii="Times New Roman" w:hAnsi="Times New Roman" w:cs="Times New Roman"/>
          <w:color w:val="000000" w:themeColor="text1"/>
          <w:lang w:val="en-US" w:eastAsia="zh-CN"/>
          <w14:textFill>
            <w14:solidFill>
              <w14:schemeClr w14:val="tx1"/>
            </w14:solidFill>
          </w14:textFill>
        </w:rPr>
        <w:t>聚焦低碳发展</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提高</w:t>
      </w:r>
      <w:r>
        <w:rPr>
          <w:rFonts w:ascii="Times New Roman" w:hAnsi="Times New Roman" w:cs="Times New Roman"/>
          <w:color w:val="000000" w:themeColor="text1"/>
          <w14:textFill>
            <w14:solidFill>
              <w14:schemeClr w14:val="tx1"/>
            </w14:solidFill>
          </w14:textFill>
        </w:rPr>
        <w:t>绿色制造</w:t>
      </w:r>
      <w:bookmarkEnd w:id="94"/>
      <w:r>
        <w:rPr>
          <w:rFonts w:hint="eastAsia" w:ascii="Times New Roman" w:hAnsi="Times New Roman" w:cs="Times New Roman"/>
          <w:color w:val="000000" w:themeColor="text1"/>
          <w:lang w:val="en-US" w:eastAsia="zh-CN"/>
          <w14:textFill>
            <w14:solidFill>
              <w14:schemeClr w14:val="tx1"/>
            </w14:solidFill>
          </w14:textFill>
        </w:rPr>
        <w:t>水平</w:t>
      </w:r>
      <w:bookmarkEnd w:id="113"/>
    </w:p>
    <w:p>
      <w:pPr>
        <w:ind w:firstLine="640" w:firstLineChars="200"/>
        <w:rPr>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围绕碳达峰、碳中和目标，</w:t>
      </w:r>
      <w:r>
        <w:rPr>
          <w:rFonts w:hint="eastAsia"/>
          <w:color w:val="000000" w:themeColor="text1"/>
          <w:lang w:val="en-US" w:eastAsia="zh-CN"/>
          <w14:textFill>
            <w14:solidFill>
              <w14:schemeClr w14:val="tx1"/>
            </w14:solidFill>
          </w14:textFill>
        </w:rPr>
        <w:t>加快</w:t>
      </w:r>
      <w:r>
        <w:rPr>
          <w:rFonts w:hint="eastAsia"/>
          <w:color w:val="000000" w:themeColor="text1"/>
          <w14:textFill>
            <w14:solidFill>
              <w14:schemeClr w14:val="tx1"/>
            </w14:solidFill>
          </w14:textFill>
        </w:rPr>
        <w:t>发展绿色制造</w:t>
      </w:r>
      <w:r>
        <w:rPr>
          <w:color w:val="000000" w:themeColor="text1"/>
          <w14:textFill>
            <w14:solidFill>
              <w14:schemeClr w14:val="tx1"/>
            </w14:solidFill>
          </w14:textFill>
        </w:rPr>
        <w:t>，以传统产业绿色化改造为重点，以促进产业链和产品全生命周期绿色发展为目的，构建高效、清洁、低碳、循环的绿色制造体系。</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完善绿色制造体系。</w:t>
      </w:r>
      <w:r>
        <w:rPr>
          <w:rFonts w:ascii="Times New Roman" w:hAnsi="Times New Roman" w:cs="Times New Roman"/>
          <w:bCs/>
          <w:color w:val="000000" w:themeColor="text1"/>
          <w14:textFill>
            <w14:solidFill>
              <w14:schemeClr w14:val="tx1"/>
            </w14:solidFill>
          </w14:textFill>
        </w:rPr>
        <w:t>支持传统产业、重点行业企业开展绿色化改造，组织行业协会、科研院所等第三方机构专家深入企业，帮助企业制定改造方案和发展目标，切实有效提升绿色化改造水平。围绕打造绿色制造体系，持续开展绿色设计产品、绿色工厂、绿色园区和绿色供应链创建，加强对绿色制造创建单位事中事后监督管理和跟踪问效，推动濮阳市制造业实现高效、清洁、低碳、循环和可持续发展。深入开展能效、水效领跑者对标达标活动，培育一批全国能效、水效标杆企业。</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推进重点行业与重点领域绿色化改造。</w:t>
      </w:r>
      <w:r>
        <w:rPr>
          <w:rFonts w:ascii="Times New Roman" w:hAnsi="Times New Roman" w:cs="Times New Roman"/>
          <w:bCs/>
          <w:color w:val="000000" w:themeColor="text1"/>
          <w14:textFill>
            <w14:solidFill>
              <w14:schemeClr w14:val="tx1"/>
            </w14:solidFill>
          </w14:textFill>
        </w:rPr>
        <w:t>开展重点产业链绿色化改造，以高耗能行业为重点领域，重点开展高耗能设备系统节能改造，实现生产过程清洁化、水资源利用高效化和基础制造工艺绿色化。落实能耗“双控”政策，实施清洁生产提升计划，加强节能、节水、环保技术、工艺、装备推广应用，鼓励企业使用清洁能源，发展绿色技术、绿色设计、绿色工艺、绿色产品，实现产品全生命周期绿色管理。强化电器电子、汽车等产品中有害物质源头管控，推动原料药集中生产、污染物集中处理与监管。</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加快推进工业资源综合利用。</w:t>
      </w:r>
      <w:r>
        <w:rPr>
          <w:rFonts w:ascii="Times New Roman" w:hAnsi="Times New Roman" w:cs="Times New Roman"/>
          <w:bCs/>
          <w:color w:val="000000" w:themeColor="text1"/>
          <w14:textFill>
            <w14:solidFill>
              <w14:schemeClr w14:val="tx1"/>
            </w14:solidFill>
          </w14:textFill>
        </w:rPr>
        <w:t>完善工业资源综合利用产业链，拓展工业固废综合利用途径，推进废旧电子电器产品、动力蓄电池、废轮胎等资源化利用。加强产业集聚区余热余压废热资源回收利用和水资源循环利用，建设资源共享、废物处理公共平台，促进企业、园区、行业间链接共生、原料互供、资源共享、废物互为利用。完善再制造旧件回收体系，实施高端再制造、智能再制造、在役再制造，推动再制造规模化、产业化发展。建设静脉产业示范园区。</w:t>
      </w:r>
    </w:p>
    <w:p>
      <w:pPr>
        <w:ind w:firstLine="643"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强化工业污染治理。</w:t>
      </w:r>
      <w:r>
        <w:rPr>
          <w:rFonts w:ascii="Times New Roman" w:hAnsi="Times New Roman" w:cs="Times New Roman"/>
          <w:bCs/>
          <w:color w:val="000000" w:themeColor="text1"/>
          <w14:textFill>
            <w14:solidFill>
              <w14:schemeClr w14:val="tx1"/>
            </w14:solidFill>
          </w14:textFill>
        </w:rPr>
        <w:t>强化对化工、食品加工等行业污染物稳定达标排放治理和监管，依法加大违法排污企业处罚力度。组织实施工业节能监察，严格执行国家和省行业能效标准，对超能耗限额标准的企业执行阶梯电价，倒逼企业进行节能技术改造。推动以化工为主导产业的产业集聚区进一步完善危险废物监管处置体系。推动工业节水，加强工业水循环利用，提高水利用效率。建立市场化、法治化、常态化的落后产能退出机制，坚决淘汰落后产能，积极化解严重过剩产能，加快退出低端低效产能。推动沿黄制造业污染企业搬迁改造，强化沿黄制造业污染监测与治理，推动黄河流域工业绿色化发展。</w:t>
      </w:r>
    </w:p>
    <w:p>
      <w:pPr>
        <w:pStyle w:val="22"/>
        <w:rPr>
          <w:rFonts w:ascii="Times New Roman" w:hAnsi="Times New Roman" w:cs="Times New Roman"/>
          <w:color w:val="000000" w:themeColor="text1"/>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加快构建低碳工业体系。</w:t>
      </w:r>
      <w:r>
        <w:rPr>
          <w:rFonts w:hint="eastAsia"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t>将绿色发展理念贯穿于工业经济全领域、生产全过程，充分激发工业互联网、大数据、人工智能对优化产业结构的重要作用，力争推动工业领域的绿色低碳技术实现重大突破，促进传统产业智能化、清洁化改造，建设低耗高产的绿色制造体系；充分利用工业互联网、大数据、人工智能等技术，围绕钢铁、石化、水泥等重点高能耗高排放行业打造能效可视、可控的能源管控解决方案，实现节能减排和绿色生产；进一步加强对数据的分析和价值挖掘，加速绿色产品开发，精细管理工业企业工艺、制造、采购、营销、物流供应链及服务等各个环节，提升端到端的生产和管理效率，实现各环节的节能减排；打造绿色制造公共服务平台，赋能和服务工业企业绿色转型升级。</w:t>
      </w: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114" w:name="_Toc30784"/>
      <w:bookmarkStart w:id="115" w:name="_Toc62834797"/>
      <w:bookmarkStart w:id="116" w:name="_Toc1717"/>
      <w:bookmarkStart w:id="117" w:name="_Toc31482"/>
      <w:r>
        <w:rPr>
          <w:rFonts w:ascii="Times New Roman" w:hAnsi="Times New Roman" w:cs="Times New Roman"/>
          <w:color w:val="000000" w:themeColor="text1"/>
          <w14:textFill>
            <w14:solidFill>
              <w14:schemeClr w14:val="tx1"/>
            </w14:solidFill>
          </w14:textFill>
        </w:rPr>
        <w:t>十、</w:t>
      </w:r>
      <w:bookmarkEnd w:id="114"/>
      <w:bookmarkEnd w:id="115"/>
      <w:r>
        <w:rPr>
          <w:rFonts w:ascii="Times New Roman" w:hAnsi="Times New Roman" w:cs="Times New Roman"/>
          <w:color w:val="000000" w:themeColor="text1"/>
          <w14:textFill>
            <w14:solidFill>
              <w14:schemeClr w14:val="tx1"/>
            </w14:solidFill>
          </w14:textFill>
        </w:rPr>
        <w:t>优化企业服务，打造一流营商环境</w:t>
      </w:r>
      <w:bookmarkEnd w:id="116"/>
      <w:bookmarkEnd w:id="117"/>
    </w:p>
    <w:p>
      <w:pPr>
        <w:pStyle w:val="2"/>
        <w:rPr>
          <w:rFonts w:ascii="Times New Roman" w:hAnsi="Times New Roman" w:eastAsia="仿宋_GB2312" w:cs="Times New Roman"/>
          <w:bCs/>
          <w:color w:val="000000" w:themeColor="text1"/>
          <w14:textFill>
            <w14:solidFill>
              <w14:schemeClr w14:val="tx1"/>
            </w14:solidFill>
          </w14:textFill>
        </w:rPr>
      </w:pPr>
      <w:r>
        <w:rPr>
          <w:rFonts w:ascii="Times New Roman" w:hAnsi="Times New Roman" w:eastAsia="仿宋_GB2312" w:cs="Times New Roman"/>
          <w:bCs/>
          <w:color w:val="000000" w:themeColor="text1"/>
          <w14:textFill>
            <w14:solidFill>
              <w14:schemeClr w14:val="tx1"/>
            </w14:solidFill>
          </w14:textFill>
        </w:rPr>
        <w:t>统筹推进深层次改革，深刻转变政府职能，进一步优化营商环境，打造引领高质量发展的强大引擎。</w:t>
      </w:r>
    </w:p>
    <w:p>
      <w:pPr>
        <w:pStyle w:val="2"/>
        <w:rPr>
          <w:rFonts w:ascii="Times New Roman" w:hAnsi="Times New Roman" w:eastAsia="仿宋_GB2312" w:cs="Times New Roman"/>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深刻转变政府职能定位。</w:t>
      </w:r>
      <w:r>
        <w:rPr>
          <w:rFonts w:ascii="Times New Roman" w:hAnsi="Times New Roman" w:eastAsia="仿宋_GB2312" w:cs="Times New Roman"/>
          <w:bCs/>
          <w:color w:val="000000" w:themeColor="text1"/>
          <w14:textFill>
            <w14:solidFill>
              <w14:schemeClr w14:val="tx1"/>
            </w14:solidFill>
          </w14:textFill>
        </w:rPr>
        <w:t>做好“稳商”“安商”大文章。持续深化“放管服”改革，扩大“一网通办”前提下“最多跑一次”改革覆盖面，统筹推进“证照分离”和“多证合一”改革。对于工业发展所需的水、电、运等基础设施，政府各有关部门要通力合作，为消除工业发展的瓶颈制约创造良好外部条件。</w:t>
      </w:r>
    </w:p>
    <w:p>
      <w:pPr>
        <w:pStyle w:val="2"/>
        <w:rPr>
          <w:rFonts w:ascii="Times New Roman" w:hAnsi="Times New Roman" w:eastAsia="仿宋_GB2312" w:cs="Times New Roman"/>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营造稳定、公平、透明、可预期的营商环境。</w:t>
      </w:r>
      <w:r>
        <w:rPr>
          <w:rFonts w:ascii="Times New Roman" w:hAnsi="Times New Roman" w:eastAsia="仿宋_GB2312" w:cs="Times New Roman"/>
          <w:bCs/>
          <w:color w:val="000000" w:themeColor="text1"/>
          <w14:textFill>
            <w14:solidFill>
              <w14:schemeClr w14:val="tx1"/>
            </w14:solidFill>
          </w14:textFill>
        </w:rPr>
        <w:t>全面推动诚信政府建设，构建政务信用承诺机制和政务失信惩戒机制。全面落实公平竞争审查制度，支持民间资本组建或参股参与交通、水利、市政公用事业等领域投资运营。加快“数字政府”建设，建立涉企“一站式”网上发布平台，推进政务服务标准化、便利化。</w:t>
      </w:r>
    </w:p>
    <w:p>
      <w:pPr>
        <w:pStyle w:val="2"/>
        <w:rPr>
          <w:rFonts w:ascii="Times New Roman" w:hAnsi="Times New Roman" w:eastAsia="仿宋_GB2312" w:cs="Times New Roman"/>
          <w:bCs/>
          <w:color w:val="000000" w:themeColor="text1"/>
          <w14:textFill>
            <w14:solidFill>
              <w14:schemeClr w14:val="tx1"/>
            </w14:solidFill>
          </w14:textFill>
        </w:rPr>
      </w:pPr>
      <w:r>
        <w:rPr>
          <w:rFonts w:ascii="Times New Roman" w:hAnsi="Times New Roman" w:eastAsia="仿宋_GB2312" w:cs="Times New Roman"/>
          <w:b/>
          <w:bCs/>
          <w:color w:val="000000" w:themeColor="text1"/>
          <w14:textFill>
            <w14:solidFill>
              <w14:schemeClr w14:val="tx1"/>
            </w14:solidFill>
          </w14:textFill>
        </w:rPr>
        <w:t>建立畅通有效的政企沟通机制。</w:t>
      </w:r>
      <w:r>
        <w:rPr>
          <w:rFonts w:ascii="Times New Roman" w:hAnsi="Times New Roman" w:eastAsia="仿宋_GB2312" w:cs="Times New Roman"/>
          <w:bCs/>
          <w:color w:val="000000" w:themeColor="text1"/>
          <w14:textFill>
            <w14:solidFill>
              <w14:schemeClr w14:val="tx1"/>
            </w14:solidFill>
          </w14:textFill>
        </w:rPr>
        <w:t>及时了解市场动态，了解企业的诉求及期盼，有针对性地采取措施解决好制造业企业的“痛点”。充分发挥首席服务员“点对点服务”功能，确保项目</w:t>
      </w:r>
      <w:r>
        <w:rPr>
          <w:rFonts w:hint="eastAsia" w:ascii="Times New Roman" w:hAnsi="Times New Roman" w:eastAsia="仿宋_GB2312" w:cs="Times New Roman"/>
          <w:bCs/>
          <w:color w:val="000000" w:themeColor="text1"/>
          <w14:textFill>
            <w14:solidFill>
              <w14:schemeClr w14:val="tx1"/>
            </w14:solidFill>
          </w14:textFill>
        </w:rPr>
        <w:t>有序推进</w:t>
      </w:r>
      <w:r>
        <w:rPr>
          <w:rFonts w:ascii="Times New Roman" w:hAnsi="Times New Roman" w:eastAsia="仿宋_GB2312" w:cs="Times New Roman"/>
          <w:bCs/>
          <w:color w:val="000000" w:themeColor="text1"/>
          <w14:textFill>
            <w14:solidFill>
              <w14:schemeClr w14:val="tx1"/>
            </w14:solidFill>
          </w14:textFill>
        </w:rPr>
        <w:t>。深入开展企业家培训活动、“四项对接”活动和“一联三帮”保企稳业专项行动，充分利用政企通微信公众号、</w:t>
      </w:r>
      <w:r>
        <w:rPr>
          <w:rFonts w:hint="eastAsia" w:ascii="Times New Roman" w:hAnsi="Times New Roman" w:eastAsia="仿宋_GB2312" w:cs="Times New Roman"/>
          <w:bCs/>
          <w:color w:val="000000" w:themeColor="text1"/>
          <w14:textFill>
            <w14:solidFill>
              <w14:schemeClr w14:val="tx1"/>
            </w14:solidFill>
          </w14:textFill>
        </w:rPr>
        <w:t>惠</w:t>
      </w:r>
      <w:r>
        <w:rPr>
          <w:rFonts w:ascii="Times New Roman" w:hAnsi="Times New Roman" w:eastAsia="仿宋_GB2312" w:cs="Times New Roman"/>
          <w:bCs/>
          <w:color w:val="000000" w:themeColor="text1"/>
          <w14:textFill>
            <w14:solidFill>
              <w14:schemeClr w14:val="tx1"/>
            </w14:solidFill>
          </w14:textFill>
        </w:rPr>
        <w:t>企政策进千企等多种形式加强舆论引导，将企业发展主动融入到规划实施中来，打造企业主动参与、共创共建共享的局面。</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pStyle w:val="4"/>
        <w:rPr>
          <w:rFonts w:ascii="Times New Roman" w:hAnsi="Times New Roman" w:cs="Times New Roman"/>
          <w:color w:val="000000" w:themeColor="text1"/>
          <w14:textFill>
            <w14:solidFill>
              <w14:schemeClr w14:val="tx1"/>
            </w14:solidFill>
          </w14:textFill>
        </w:rPr>
      </w:pPr>
      <w:bookmarkStart w:id="118" w:name="_Toc14966"/>
      <w:bookmarkStart w:id="119" w:name="_Toc62834798"/>
      <w:bookmarkStart w:id="120" w:name="_Toc15434"/>
      <w:bookmarkStart w:id="121" w:name="_Toc18866"/>
      <w:r>
        <w:rPr>
          <w:rFonts w:ascii="Times New Roman" w:hAnsi="Times New Roman" w:cs="Times New Roman"/>
          <w:color w:val="000000" w:themeColor="text1"/>
          <w14:textFill>
            <w14:solidFill>
              <w14:schemeClr w14:val="tx1"/>
            </w14:solidFill>
          </w14:textFill>
        </w:rPr>
        <w:t>第五章  政策保障</w:t>
      </w:r>
      <w:bookmarkEnd w:id="118"/>
      <w:bookmarkEnd w:id="119"/>
      <w:bookmarkEnd w:id="120"/>
      <w:bookmarkEnd w:id="121"/>
    </w:p>
    <w:p>
      <w:pPr>
        <w:ind w:firstLine="640" w:firstLineChars="200"/>
        <w:rPr>
          <w:rFonts w:ascii="Times New Roman" w:hAnsi="Times New Roman" w:cs="Times New Roman"/>
          <w:color w:val="000000" w:themeColor="text1"/>
          <w14:textFill>
            <w14:solidFill>
              <w14:schemeClr w14:val="tx1"/>
            </w14:solidFill>
          </w14:textFill>
        </w:rPr>
      </w:pP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122" w:name="_Toc31707"/>
      <w:bookmarkStart w:id="123" w:name="_Toc62834799"/>
      <w:bookmarkStart w:id="124" w:name="_Toc10292"/>
      <w:bookmarkStart w:id="125" w:name="_Toc8530"/>
      <w:r>
        <w:rPr>
          <w:rFonts w:ascii="Times New Roman" w:hAnsi="Times New Roman" w:cs="Times New Roman"/>
          <w:color w:val="000000" w:themeColor="text1"/>
          <w14:textFill>
            <w14:solidFill>
              <w14:schemeClr w14:val="tx1"/>
            </w14:solidFill>
          </w14:textFill>
        </w:rPr>
        <w:t>一、</w:t>
      </w:r>
      <w:bookmarkEnd w:id="122"/>
      <w:bookmarkEnd w:id="123"/>
      <w:r>
        <w:rPr>
          <w:rFonts w:ascii="Times New Roman" w:hAnsi="Times New Roman" w:cs="Times New Roman"/>
          <w:color w:val="000000" w:themeColor="text1"/>
          <w14:textFill>
            <w14:solidFill>
              <w14:schemeClr w14:val="tx1"/>
            </w14:solidFill>
          </w14:textFill>
        </w:rPr>
        <w:t>加强组织实施</w:t>
      </w:r>
      <w:bookmarkEnd w:id="124"/>
      <w:bookmarkEnd w:id="125"/>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把党的领导贯穿到规划实施的各领域和全过程，为制造业高质量发展提供根本保证。</w:t>
      </w:r>
      <w:r>
        <w:rPr>
          <w:rFonts w:hint="eastAsia" w:ascii="Times New Roman" w:hAnsi="Times New Roman" w:cs="Times New Roman"/>
          <w:color w:val="000000" w:themeColor="text1"/>
          <w:lang w:val="en-US" w:eastAsia="zh-CN"/>
          <w14:textFill>
            <w14:solidFill>
              <w14:schemeClr w14:val="tx1"/>
            </w14:solidFill>
          </w14:textFill>
        </w:rPr>
        <w:t>由制造强市建设领导小组</w:t>
      </w:r>
      <w:r>
        <w:rPr>
          <w:rFonts w:ascii="Times New Roman" w:hAnsi="Times New Roman" w:cs="Times New Roman"/>
          <w:color w:val="000000" w:themeColor="text1"/>
          <w14:textFill>
            <w14:solidFill>
              <w14:schemeClr w14:val="tx1"/>
            </w14:solidFill>
          </w14:textFill>
        </w:rPr>
        <w:t>统筹全市“十四五”制造业高质量发展规划的实施，协调推进重大规划、重大政策、重大工程实施和重要工作安排，加强战略谋划，指导工作开展。重大事项提请市委、市政府审议决定。市级部门要明确职责分工，健全工作机制，形成政策合力，各地要强化主体责任，细化目标任务，抓好工作落实，确保规划各项任务如期完成。</w:t>
      </w: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126" w:name="_Toc15215"/>
      <w:bookmarkStart w:id="127" w:name="_Toc62834800"/>
      <w:bookmarkStart w:id="128" w:name="_Toc27561"/>
      <w:bookmarkStart w:id="129" w:name="_Toc31813"/>
      <w:r>
        <w:rPr>
          <w:rFonts w:ascii="Times New Roman" w:hAnsi="Times New Roman" w:cs="Times New Roman"/>
          <w:color w:val="000000" w:themeColor="text1"/>
          <w14:textFill>
            <w14:solidFill>
              <w14:schemeClr w14:val="tx1"/>
            </w14:solidFill>
          </w14:textFill>
        </w:rPr>
        <w:t>二、</w:t>
      </w:r>
      <w:bookmarkEnd w:id="126"/>
      <w:bookmarkEnd w:id="127"/>
      <w:r>
        <w:rPr>
          <w:rFonts w:ascii="Times New Roman" w:hAnsi="Times New Roman" w:cs="Times New Roman"/>
          <w:color w:val="000000" w:themeColor="text1"/>
          <w14:textFill>
            <w14:solidFill>
              <w14:schemeClr w14:val="tx1"/>
            </w14:solidFill>
          </w14:textFill>
        </w:rPr>
        <w:t>强化项目支撑</w:t>
      </w:r>
      <w:bookmarkEnd w:id="128"/>
      <w:bookmarkEnd w:id="129"/>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按照制造业高质量发展导向和目标，瞄准重点集群产业链短板，分期、分批谋划和滚动实施重大制造业项目、新技改工程项目，每年重点推进60项左右投资亿元以上的强链补链延链重点工业项目，强化领导分包机制，开展干部常态化入企服务活动，加强项目协调服务，保障重大项目顺利实施。推动产业政策从差异化、选择性向普惠化、功能性转变，形成更加有力的组合式政策，优化政府涉企资金支持方向，推动制造业高质量发展。全面实行政府权责清单制度，探索以投资项目承诺制为核心的极简审批。实施涉企经营许可事项清单管理，强化事中事后监管，加强“互联网+监管”应用，打造以信用为基础的新型监管机制。</w:t>
      </w:r>
    </w:p>
    <w:p>
      <w:pPr>
        <w:pStyle w:val="5"/>
        <w:spacing w:line="240" w:lineRule="auto"/>
        <w:ind w:firstLine="640"/>
        <w:rPr>
          <w:rFonts w:ascii="Times New Roman" w:hAnsi="Times New Roman" w:cs="Times New Roman"/>
          <w:color w:val="000000" w:themeColor="text1"/>
          <w14:textFill>
            <w14:solidFill>
              <w14:schemeClr w14:val="tx1"/>
            </w14:solidFill>
          </w14:textFill>
        </w:rPr>
      </w:pPr>
      <w:bookmarkStart w:id="130" w:name="_Toc62834801"/>
      <w:bookmarkStart w:id="131" w:name="_Toc10832"/>
      <w:bookmarkStart w:id="132" w:name="_Toc17440"/>
      <w:bookmarkStart w:id="133" w:name="_Toc32355"/>
      <w:r>
        <w:rPr>
          <w:rFonts w:ascii="Times New Roman" w:hAnsi="Times New Roman" w:cs="Times New Roman"/>
          <w:color w:val="000000" w:themeColor="text1"/>
          <w14:textFill>
            <w14:solidFill>
              <w14:schemeClr w14:val="tx1"/>
            </w14:solidFill>
          </w14:textFill>
        </w:rPr>
        <w:t>三、</w:t>
      </w:r>
      <w:bookmarkEnd w:id="130"/>
      <w:bookmarkEnd w:id="131"/>
      <w:r>
        <w:rPr>
          <w:rFonts w:hint="eastAsia" w:ascii="Times New Roman" w:hAnsi="Times New Roman" w:cs="Times New Roman"/>
          <w:color w:val="000000" w:themeColor="text1"/>
          <w14:textFill>
            <w14:solidFill>
              <w14:schemeClr w14:val="tx1"/>
            </w14:solidFill>
          </w14:textFill>
        </w:rPr>
        <w:t>严格</w:t>
      </w:r>
      <w:r>
        <w:rPr>
          <w:rFonts w:ascii="Times New Roman" w:hAnsi="Times New Roman" w:cs="Times New Roman"/>
          <w:color w:val="000000" w:themeColor="text1"/>
          <w14:textFill>
            <w14:solidFill>
              <w14:schemeClr w14:val="tx1"/>
            </w14:solidFill>
          </w14:textFill>
        </w:rPr>
        <w:t>监测考核</w:t>
      </w:r>
      <w:bookmarkEnd w:id="132"/>
      <w:bookmarkEnd w:id="133"/>
    </w:p>
    <w:p>
      <w:pPr>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组建濮阳市制造业高质量发展专家咨询委员会，为制造业高质量发展提供智力支持。加强对制造业高质量发展的监测评估，根据宏观环境变化及规划实施情况，不断优化规划实施方案和保障措施，确保规划目标和任务的顺利实现。</w:t>
      </w:r>
    </w:p>
    <w:p>
      <w:pPr>
        <w:ind w:firstLine="640" w:firstLineChars="200"/>
        <w:rPr>
          <w:rFonts w:ascii="Times New Roman" w:hAnsi="Times New Roman" w:cs="Times New Roman"/>
          <w:color w:val="000000" w:themeColor="text1"/>
          <w14:textFill>
            <w14:solidFill>
              <w14:schemeClr w14:val="tx1"/>
            </w14:solidFill>
          </w14:textFill>
        </w:rPr>
      </w:pPr>
    </w:p>
    <w:p>
      <w:pPr>
        <w:pStyle w:val="4"/>
        <w:jc w:val="both"/>
        <w:rPr>
          <w:rFonts w:ascii="Times New Roman" w:hAnsi="Times New Roman" w:cs="Times New Roman"/>
          <w:color w:val="000000" w:themeColor="text1"/>
          <w14:textFill>
            <w14:solidFill>
              <w14:schemeClr w14:val="tx1"/>
            </w14:solidFill>
          </w14:textFill>
        </w:rPr>
      </w:pPr>
    </w:p>
    <w:sectPr>
      <w:footerReference r:id="rId9"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w:rPr>
        <w:rFonts w:hint="eastAsia"/>
        <w:lang w:eastAsia="zh-CN"/>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w:rPr>
        <w:rFonts w:hint="eastAsia"/>
        <w:lang w:eastAsia="zh-CN"/>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w:rPr>
        <w:rFonts w:hint="eastAsia"/>
        <w:lang w:eastAsia="zh-CN"/>
      </w:rPr>
      <w:tab/>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F7"/>
    <w:rsid w:val="0001772D"/>
    <w:rsid w:val="00021F30"/>
    <w:rsid w:val="000617E8"/>
    <w:rsid w:val="000C3326"/>
    <w:rsid w:val="00127BAD"/>
    <w:rsid w:val="00134CB6"/>
    <w:rsid w:val="00182D5B"/>
    <w:rsid w:val="00185AB0"/>
    <w:rsid w:val="001C558B"/>
    <w:rsid w:val="001C5C09"/>
    <w:rsid w:val="001E60C1"/>
    <w:rsid w:val="002018B9"/>
    <w:rsid w:val="002457AA"/>
    <w:rsid w:val="00247ECA"/>
    <w:rsid w:val="00284574"/>
    <w:rsid w:val="002E11B8"/>
    <w:rsid w:val="003324E7"/>
    <w:rsid w:val="003519F9"/>
    <w:rsid w:val="00371469"/>
    <w:rsid w:val="00373E39"/>
    <w:rsid w:val="003A66DB"/>
    <w:rsid w:val="003A74E4"/>
    <w:rsid w:val="003F57A1"/>
    <w:rsid w:val="00456E4B"/>
    <w:rsid w:val="004C15EE"/>
    <w:rsid w:val="00533E32"/>
    <w:rsid w:val="00550443"/>
    <w:rsid w:val="005B377F"/>
    <w:rsid w:val="006026F7"/>
    <w:rsid w:val="006424F8"/>
    <w:rsid w:val="00711E9E"/>
    <w:rsid w:val="00714B45"/>
    <w:rsid w:val="007174A3"/>
    <w:rsid w:val="007823BB"/>
    <w:rsid w:val="007A3A79"/>
    <w:rsid w:val="007F59B4"/>
    <w:rsid w:val="0087558F"/>
    <w:rsid w:val="008E0AED"/>
    <w:rsid w:val="008F5493"/>
    <w:rsid w:val="00935673"/>
    <w:rsid w:val="00942567"/>
    <w:rsid w:val="00966DA0"/>
    <w:rsid w:val="00984677"/>
    <w:rsid w:val="00991F96"/>
    <w:rsid w:val="00A27972"/>
    <w:rsid w:val="00B24C91"/>
    <w:rsid w:val="00B261E5"/>
    <w:rsid w:val="00B81402"/>
    <w:rsid w:val="00BC1D7B"/>
    <w:rsid w:val="00BC7A84"/>
    <w:rsid w:val="00C45A33"/>
    <w:rsid w:val="00C804D9"/>
    <w:rsid w:val="00C85D17"/>
    <w:rsid w:val="00CE2334"/>
    <w:rsid w:val="00CE4983"/>
    <w:rsid w:val="00CE71C2"/>
    <w:rsid w:val="00D55C73"/>
    <w:rsid w:val="00D6472A"/>
    <w:rsid w:val="00D73021"/>
    <w:rsid w:val="00D73D0D"/>
    <w:rsid w:val="00DB3295"/>
    <w:rsid w:val="00DB6F23"/>
    <w:rsid w:val="00DD606B"/>
    <w:rsid w:val="00E43DC8"/>
    <w:rsid w:val="00E7635B"/>
    <w:rsid w:val="00E85E90"/>
    <w:rsid w:val="00EE484E"/>
    <w:rsid w:val="00F02018"/>
    <w:rsid w:val="00F27C2A"/>
    <w:rsid w:val="00F8732B"/>
    <w:rsid w:val="00FD0367"/>
    <w:rsid w:val="01064F5A"/>
    <w:rsid w:val="011732D5"/>
    <w:rsid w:val="01292A42"/>
    <w:rsid w:val="012D2CEA"/>
    <w:rsid w:val="015C6BC9"/>
    <w:rsid w:val="0164165F"/>
    <w:rsid w:val="01857216"/>
    <w:rsid w:val="0192510F"/>
    <w:rsid w:val="01B40E2D"/>
    <w:rsid w:val="01D12B78"/>
    <w:rsid w:val="024D1A4E"/>
    <w:rsid w:val="02987C99"/>
    <w:rsid w:val="02F76A07"/>
    <w:rsid w:val="030F56A5"/>
    <w:rsid w:val="031B5F63"/>
    <w:rsid w:val="03276A4D"/>
    <w:rsid w:val="0335406F"/>
    <w:rsid w:val="036A5E75"/>
    <w:rsid w:val="03773677"/>
    <w:rsid w:val="03A515AF"/>
    <w:rsid w:val="03A95FE0"/>
    <w:rsid w:val="03C45D07"/>
    <w:rsid w:val="03CD6F8C"/>
    <w:rsid w:val="040A26F2"/>
    <w:rsid w:val="042A02E5"/>
    <w:rsid w:val="04462DCC"/>
    <w:rsid w:val="04544F05"/>
    <w:rsid w:val="045F13BF"/>
    <w:rsid w:val="04755908"/>
    <w:rsid w:val="048C7FF6"/>
    <w:rsid w:val="04931EA4"/>
    <w:rsid w:val="04B543E9"/>
    <w:rsid w:val="04D11480"/>
    <w:rsid w:val="04D340FD"/>
    <w:rsid w:val="04F166B9"/>
    <w:rsid w:val="04FF5508"/>
    <w:rsid w:val="053E6DBB"/>
    <w:rsid w:val="055C6E41"/>
    <w:rsid w:val="055C76C6"/>
    <w:rsid w:val="055D59A3"/>
    <w:rsid w:val="05652F72"/>
    <w:rsid w:val="05653679"/>
    <w:rsid w:val="057758CC"/>
    <w:rsid w:val="058C33F1"/>
    <w:rsid w:val="05A50C98"/>
    <w:rsid w:val="05AF567C"/>
    <w:rsid w:val="062F208E"/>
    <w:rsid w:val="063261FB"/>
    <w:rsid w:val="06885739"/>
    <w:rsid w:val="068E5930"/>
    <w:rsid w:val="0693273F"/>
    <w:rsid w:val="06E34DF5"/>
    <w:rsid w:val="06F402B4"/>
    <w:rsid w:val="07000CD4"/>
    <w:rsid w:val="07091F7E"/>
    <w:rsid w:val="07143024"/>
    <w:rsid w:val="072927D1"/>
    <w:rsid w:val="07345E78"/>
    <w:rsid w:val="073F5ADC"/>
    <w:rsid w:val="074B7BE7"/>
    <w:rsid w:val="074F0C33"/>
    <w:rsid w:val="07502B49"/>
    <w:rsid w:val="07583473"/>
    <w:rsid w:val="078C314F"/>
    <w:rsid w:val="07942EF6"/>
    <w:rsid w:val="07C63A6E"/>
    <w:rsid w:val="07EE1BAE"/>
    <w:rsid w:val="08467FB1"/>
    <w:rsid w:val="08633E7F"/>
    <w:rsid w:val="086A7A2B"/>
    <w:rsid w:val="086C33DA"/>
    <w:rsid w:val="087130E6"/>
    <w:rsid w:val="089B426D"/>
    <w:rsid w:val="08AA3745"/>
    <w:rsid w:val="08B74752"/>
    <w:rsid w:val="08B975A4"/>
    <w:rsid w:val="08BC5840"/>
    <w:rsid w:val="08BD32DF"/>
    <w:rsid w:val="08C966EC"/>
    <w:rsid w:val="08CC1E3B"/>
    <w:rsid w:val="08EA3D69"/>
    <w:rsid w:val="08EE67B7"/>
    <w:rsid w:val="0927347E"/>
    <w:rsid w:val="09286630"/>
    <w:rsid w:val="094E47B6"/>
    <w:rsid w:val="09527A30"/>
    <w:rsid w:val="09761D7E"/>
    <w:rsid w:val="097F29D4"/>
    <w:rsid w:val="09A678BF"/>
    <w:rsid w:val="09DB435B"/>
    <w:rsid w:val="09F06993"/>
    <w:rsid w:val="0A76262A"/>
    <w:rsid w:val="0A804DB7"/>
    <w:rsid w:val="0A9F5E57"/>
    <w:rsid w:val="0AA661CA"/>
    <w:rsid w:val="0AAB5658"/>
    <w:rsid w:val="0AE224EC"/>
    <w:rsid w:val="0AE65BFA"/>
    <w:rsid w:val="0AE745E6"/>
    <w:rsid w:val="0AEA624B"/>
    <w:rsid w:val="0AEF2EB7"/>
    <w:rsid w:val="0AF92BAF"/>
    <w:rsid w:val="0B036D60"/>
    <w:rsid w:val="0B0735E8"/>
    <w:rsid w:val="0B111937"/>
    <w:rsid w:val="0B111A54"/>
    <w:rsid w:val="0B1F0AE2"/>
    <w:rsid w:val="0B213B5D"/>
    <w:rsid w:val="0B2B362C"/>
    <w:rsid w:val="0B3E6EDA"/>
    <w:rsid w:val="0B430202"/>
    <w:rsid w:val="0B606872"/>
    <w:rsid w:val="0B777BE5"/>
    <w:rsid w:val="0B916EB3"/>
    <w:rsid w:val="0B954466"/>
    <w:rsid w:val="0B963BB0"/>
    <w:rsid w:val="0B9E4769"/>
    <w:rsid w:val="0BB4785C"/>
    <w:rsid w:val="0BBF2600"/>
    <w:rsid w:val="0BCD4A5A"/>
    <w:rsid w:val="0BDE2946"/>
    <w:rsid w:val="0C0777B1"/>
    <w:rsid w:val="0C090329"/>
    <w:rsid w:val="0C095905"/>
    <w:rsid w:val="0C1A7FF7"/>
    <w:rsid w:val="0C3311A7"/>
    <w:rsid w:val="0C3B04A8"/>
    <w:rsid w:val="0C664E58"/>
    <w:rsid w:val="0C724AC3"/>
    <w:rsid w:val="0C7612D4"/>
    <w:rsid w:val="0C840357"/>
    <w:rsid w:val="0C8C3043"/>
    <w:rsid w:val="0C904F70"/>
    <w:rsid w:val="0CD8302D"/>
    <w:rsid w:val="0D3767D0"/>
    <w:rsid w:val="0D734660"/>
    <w:rsid w:val="0D9422C0"/>
    <w:rsid w:val="0DAB6FB9"/>
    <w:rsid w:val="0DC61E58"/>
    <w:rsid w:val="0DD1628E"/>
    <w:rsid w:val="0DE30433"/>
    <w:rsid w:val="0DF569F5"/>
    <w:rsid w:val="0E0B1628"/>
    <w:rsid w:val="0E1151A0"/>
    <w:rsid w:val="0E1651A1"/>
    <w:rsid w:val="0E523FC7"/>
    <w:rsid w:val="0E611C6E"/>
    <w:rsid w:val="0E6D2F18"/>
    <w:rsid w:val="0E973EFD"/>
    <w:rsid w:val="0EB87491"/>
    <w:rsid w:val="0EC255DD"/>
    <w:rsid w:val="0ECC3BC7"/>
    <w:rsid w:val="0EE63285"/>
    <w:rsid w:val="0F1D7F79"/>
    <w:rsid w:val="0F22628C"/>
    <w:rsid w:val="0F250D13"/>
    <w:rsid w:val="0F567476"/>
    <w:rsid w:val="0F7010E9"/>
    <w:rsid w:val="0F773017"/>
    <w:rsid w:val="0FBF03B5"/>
    <w:rsid w:val="0FE2531A"/>
    <w:rsid w:val="0FE47376"/>
    <w:rsid w:val="0FE64A16"/>
    <w:rsid w:val="0FE672F8"/>
    <w:rsid w:val="0FE713F3"/>
    <w:rsid w:val="10042590"/>
    <w:rsid w:val="102B2328"/>
    <w:rsid w:val="105638FE"/>
    <w:rsid w:val="106719BD"/>
    <w:rsid w:val="1074504B"/>
    <w:rsid w:val="109C5C92"/>
    <w:rsid w:val="10C50298"/>
    <w:rsid w:val="10EA2D6B"/>
    <w:rsid w:val="11065883"/>
    <w:rsid w:val="110E5AF9"/>
    <w:rsid w:val="111F2831"/>
    <w:rsid w:val="11223D08"/>
    <w:rsid w:val="11232E8D"/>
    <w:rsid w:val="11334AD1"/>
    <w:rsid w:val="114F647F"/>
    <w:rsid w:val="1153187A"/>
    <w:rsid w:val="11556C67"/>
    <w:rsid w:val="11576BB9"/>
    <w:rsid w:val="11B031D2"/>
    <w:rsid w:val="11CA0B30"/>
    <w:rsid w:val="11F64A0A"/>
    <w:rsid w:val="12122278"/>
    <w:rsid w:val="12135474"/>
    <w:rsid w:val="121D1047"/>
    <w:rsid w:val="122C5EE2"/>
    <w:rsid w:val="123C5336"/>
    <w:rsid w:val="12513C96"/>
    <w:rsid w:val="12550997"/>
    <w:rsid w:val="12890C88"/>
    <w:rsid w:val="128B0241"/>
    <w:rsid w:val="128C41F1"/>
    <w:rsid w:val="12A5676C"/>
    <w:rsid w:val="12D75B8C"/>
    <w:rsid w:val="12FE06C2"/>
    <w:rsid w:val="13117BD7"/>
    <w:rsid w:val="13161A89"/>
    <w:rsid w:val="13262B30"/>
    <w:rsid w:val="13421C52"/>
    <w:rsid w:val="13780A53"/>
    <w:rsid w:val="13B9756D"/>
    <w:rsid w:val="13BB58E9"/>
    <w:rsid w:val="13CE3DED"/>
    <w:rsid w:val="13E02335"/>
    <w:rsid w:val="13F1178A"/>
    <w:rsid w:val="140C3948"/>
    <w:rsid w:val="14563567"/>
    <w:rsid w:val="146B7102"/>
    <w:rsid w:val="146D6AED"/>
    <w:rsid w:val="147C004A"/>
    <w:rsid w:val="148375D1"/>
    <w:rsid w:val="148B293B"/>
    <w:rsid w:val="149E7721"/>
    <w:rsid w:val="14D1681B"/>
    <w:rsid w:val="14F86A75"/>
    <w:rsid w:val="152F513E"/>
    <w:rsid w:val="154103AB"/>
    <w:rsid w:val="15556140"/>
    <w:rsid w:val="15946F17"/>
    <w:rsid w:val="1595406B"/>
    <w:rsid w:val="15B1623B"/>
    <w:rsid w:val="15B71E85"/>
    <w:rsid w:val="15C5383E"/>
    <w:rsid w:val="15D652FA"/>
    <w:rsid w:val="15D910F6"/>
    <w:rsid w:val="15F40340"/>
    <w:rsid w:val="15F44E89"/>
    <w:rsid w:val="15FD337A"/>
    <w:rsid w:val="160A3078"/>
    <w:rsid w:val="16153FC6"/>
    <w:rsid w:val="16166F6F"/>
    <w:rsid w:val="16227A69"/>
    <w:rsid w:val="163058D8"/>
    <w:rsid w:val="16422B25"/>
    <w:rsid w:val="166B1268"/>
    <w:rsid w:val="16791FCE"/>
    <w:rsid w:val="16811472"/>
    <w:rsid w:val="16834AA3"/>
    <w:rsid w:val="169E3277"/>
    <w:rsid w:val="16A00FC7"/>
    <w:rsid w:val="16D854FE"/>
    <w:rsid w:val="16E40A95"/>
    <w:rsid w:val="17004308"/>
    <w:rsid w:val="170377C5"/>
    <w:rsid w:val="17166E16"/>
    <w:rsid w:val="17193F7B"/>
    <w:rsid w:val="171F6E1E"/>
    <w:rsid w:val="174A29FC"/>
    <w:rsid w:val="17BB6A47"/>
    <w:rsid w:val="17BF3C61"/>
    <w:rsid w:val="17F7135C"/>
    <w:rsid w:val="18046FBB"/>
    <w:rsid w:val="18216C34"/>
    <w:rsid w:val="18756C07"/>
    <w:rsid w:val="18BC2D19"/>
    <w:rsid w:val="18F61417"/>
    <w:rsid w:val="190D77A0"/>
    <w:rsid w:val="192318B6"/>
    <w:rsid w:val="1924201C"/>
    <w:rsid w:val="192F1774"/>
    <w:rsid w:val="19476731"/>
    <w:rsid w:val="196D0183"/>
    <w:rsid w:val="19755068"/>
    <w:rsid w:val="19A06051"/>
    <w:rsid w:val="19A50C0B"/>
    <w:rsid w:val="19B13F44"/>
    <w:rsid w:val="19C76F77"/>
    <w:rsid w:val="19D906F6"/>
    <w:rsid w:val="19E462FE"/>
    <w:rsid w:val="19E9598F"/>
    <w:rsid w:val="19F14DB8"/>
    <w:rsid w:val="19F460EE"/>
    <w:rsid w:val="1A1417B3"/>
    <w:rsid w:val="1A1D158F"/>
    <w:rsid w:val="1A8E177F"/>
    <w:rsid w:val="1A990761"/>
    <w:rsid w:val="1AE14379"/>
    <w:rsid w:val="1AFD44DA"/>
    <w:rsid w:val="1B07372A"/>
    <w:rsid w:val="1B0F4C21"/>
    <w:rsid w:val="1B173059"/>
    <w:rsid w:val="1B385583"/>
    <w:rsid w:val="1B402089"/>
    <w:rsid w:val="1B8D0C0E"/>
    <w:rsid w:val="1B9371D0"/>
    <w:rsid w:val="1BAA3DD9"/>
    <w:rsid w:val="1BB5673C"/>
    <w:rsid w:val="1BD2208E"/>
    <w:rsid w:val="1C295B47"/>
    <w:rsid w:val="1C334CFD"/>
    <w:rsid w:val="1C3C2A80"/>
    <w:rsid w:val="1C41217D"/>
    <w:rsid w:val="1C492390"/>
    <w:rsid w:val="1CA1453D"/>
    <w:rsid w:val="1CB20ADB"/>
    <w:rsid w:val="1CBA18E0"/>
    <w:rsid w:val="1CCB70C9"/>
    <w:rsid w:val="1CCD5DDD"/>
    <w:rsid w:val="1CD14AC4"/>
    <w:rsid w:val="1CD652EA"/>
    <w:rsid w:val="1CD9418F"/>
    <w:rsid w:val="1CE32297"/>
    <w:rsid w:val="1CE926B8"/>
    <w:rsid w:val="1CF166A2"/>
    <w:rsid w:val="1D221DFD"/>
    <w:rsid w:val="1D295795"/>
    <w:rsid w:val="1D3A1553"/>
    <w:rsid w:val="1D6722F0"/>
    <w:rsid w:val="1D72136A"/>
    <w:rsid w:val="1D7236F3"/>
    <w:rsid w:val="1D903FF2"/>
    <w:rsid w:val="1D9448FA"/>
    <w:rsid w:val="1DAD6E7B"/>
    <w:rsid w:val="1DB10A1A"/>
    <w:rsid w:val="1DB74A1E"/>
    <w:rsid w:val="1DBE6D02"/>
    <w:rsid w:val="1DE10ACA"/>
    <w:rsid w:val="1DE47460"/>
    <w:rsid w:val="1E5B717B"/>
    <w:rsid w:val="1E71082C"/>
    <w:rsid w:val="1EA165B7"/>
    <w:rsid w:val="1EDD7F6E"/>
    <w:rsid w:val="1EED09F0"/>
    <w:rsid w:val="1F03749A"/>
    <w:rsid w:val="1F0E3526"/>
    <w:rsid w:val="1F292D44"/>
    <w:rsid w:val="1F2973F7"/>
    <w:rsid w:val="1F2A4FC8"/>
    <w:rsid w:val="1F432EE8"/>
    <w:rsid w:val="1F4C1A69"/>
    <w:rsid w:val="1F4D074B"/>
    <w:rsid w:val="1F766581"/>
    <w:rsid w:val="1F8E3C56"/>
    <w:rsid w:val="1FB55CE1"/>
    <w:rsid w:val="1FB65260"/>
    <w:rsid w:val="1FD06C1A"/>
    <w:rsid w:val="1FF33D34"/>
    <w:rsid w:val="1FF9070E"/>
    <w:rsid w:val="201701B2"/>
    <w:rsid w:val="20195E28"/>
    <w:rsid w:val="203E004D"/>
    <w:rsid w:val="2051698D"/>
    <w:rsid w:val="20613FEC"/>
    <w:rsid w:val="20A37024"/>
    <w:rsid w:val="20D002D6"/>
    <w:rsid w:val="20D802BD"/>
    <w:rsid w:val="20DA491F"/>
    <w:rsid w:val="20E72F2C"/>
    <w:rsid w:val="20FA76D2"/>
    <w:rsid w:val="21132FE8"/>
    <w:rsid w:val="2113764A"/>
    <w:rsid w:val="21190CAA"/>
    <w:rsid w:val="2142431D"/>
    <w:rsid w:val="21427543"/>
    <w:rsid w:val="21546E47"/>
    <w:rsid w:val="215614CB"/>
    <w:rsid w:val="21687464"/>
    <w:rsid w:val="21727123"/>
    <w:rsid w:val="21A53605"/>
    <w:rsid w:val="21F73148"/>
    <w:rsid w:val="22053A57"/>
    <w:rsid w:val="22091AA1"/>
    <w:rsid w:val="220B1E10"/>
    <w:rsid w:val="22161F6D"/>
    <w:rsid w:val="221C1E77"/>
    <w:rsid w:val="221C7C4F"/>
    <w:rsid w:val="22314496"/>
    <w:rsid w:val="22322CD3"/>
    <w:rsid w:val="22327375"/>
    <w:rsid w:val="223A10C3"/>
    <w:rsid w:val="22406720"/>
    <w:rsid w:val="22681309"/>
    <w:rsid w:val="22845D2C"/>
    <w:rsid w:val="22A07770"/>
    <w:rsid w:val="22A21CEE"/>
    <w:rsid w:val="22B30C20"/>
    <w:rsid w:val="22B4594D"/>
    <w:rsid w:val="22CA0B87"/>
    <w:rsid w:val="22CD0C38"/>
    <w:rsid w:val="22DD22AC"/>
    <w:rsid w:val="23751219"/>
    <w:rsid w:val="238515C7"/>
    <w:rsid w:val="242F0266"/>
    <w:rsid w:val="24570F59"/>
    <w:rsid w:val="245807AF"/>
    <w:rsid w:val="246331D4"/>
    <w:rsid w:val="24827CBB"/>
    <w:rsid w:val="248D5555"/>
    <w:rsid w:val="24B354D9"/>
    <w:rsid w:val="24E70CA0"/>
    <w:rsid w:val="25255BD6"/>
    <w:rsid w:val="254E7E1C"/>
    <w:rsid w:val="25514BAC"/>
    <w:rsid w:val="255559CA"/>
    <w:rsid w:val="25575956"/>
    <w:rsid w:val="256531C5"/>
    <w:rsid w:val="257566A8"/>
    <w:rsid w:val="25B63335"/>
    <w:rsid w:val="25D230DE"/>
    <w:rsid w:val="25D52FC1"/>
    <w:rsid w:val="25E015B1"/>
    <w:rsid w:val="25E67A39"/>
    <w:rsid w:val="25EF1188"/>
    <w:rsid w:val="263027A0"/>
    <w:rsid w:val="26390C77"/>
    <w:rsid w:val="26415C2D"/>
    <w:rsid w:val="264E3BD8"/>
    <w:rsid w:val="268B747D"/>
    <w:rsid w:val="268C1F94"/>
    <w:rsid w:val="268C71D0"/>
    <w:rsid w:val="26983EDF"/>
    <w:rsid w:val="26C42233"/>
    <w:rsid w:val="26ED3321"/>
    <w:rsid w:val="26EE2407"/>
    <w:rsid w:val="26F06984"/>
    <w:rsid w:val="26F340B7"/>
    <w:rsid w:val="279C37A0"/>
    <w:rsid w:val="27D908DB"/>
    <w:rsid w:val="27F42561"/>
    <w:rsid w:val="27F64512"/>
    <w:rsid w:val="27FD1B0B"/>
    <w:rsid w:val="28116AA4"/>
    <w:rsid w:val="2849796E"/>
    <w:rsid w:val="28633186"/>
    <w:rsid w:val="288A706B"/>
    <w:rsid w:val="28A50D0F"/>
    <w:rsid w:val="28C67CF1"/>
    <w:rsid w:val="28C92F07"/>
    <w:rsid w:val="28D223B3"/>
    <w:rsid w:val="28E175E9"/>
    <w:rsid w:val="28EC713C"/>
    <w:rsid w:val="2915697F"/>
    <w:rsid w:val="29215950"/>
    <w:rsid w:val="29466757"/>
    <w:rsid w:val="29573E1D"/>
    <w:rsid w:val="296D63BC"/>
    <w:rsid w:val="2977270F"/>
    <w:rsid w:val="29941182"/>
    <w:rsid w:val="29D70F47"/>
    <w:rsid w:val="29F9425D"/>
    <w:rsid w:val="2A31670C"/>
    <w:rsid w:val="2A431E77"/>
    <w:rsid w:val="2A805C15"/>
    <w:rsid w:val="2ADD6CEE"/>
    <w:rsid w:val="2AED74E0"/>
    <w:rsid w:val="2AF91273"/>
    <w:rsid w:val="2B041B06"/>
    <w:rsid w:val="2B17027D"/>
    <w:rsid w:val="2B224831"/>
    <w:rsid w:val="2B3D0A3C"/>
    <w:rsid w:val="2B854384"/>
    <w:rsid w:val="2BA9065A"/>
    <w:rsid w:val="2BD83634"/>
    <w:rsid w:val="2BF51D98"/>
    <w:rsid w:val="2C0D2CB7"/>
    <w:rsid w:val="2C1E0525"/>
    <w:rsid w:val="2C2B4402"/>
    <w:rsid w:val="2C334898"/>
    <w:rsid w:val="2C387FED"/>
    <w:rsid w:val="2C43282A"/>
    <w:rsid w:val="2C4C5539"/>
    <w:rsid w:val="2C5372BD"/>
    <w:rsid w:val="2C575883"/>
    <w:rsid w:val="2C6B1011"/>
    <w:rsid w:val="2C7977F1"/>
    <w:rsid w:val="2CAA13B0"/>
    <w:rsid w:val="2CCE715A"/>
    <w:rsid w:val="2CE6184E"/>
    <w:rsid w:val="2CF43A6A"/>
    <w:rsid w:val="2CF43EBB"/>
    <w:rsid w:val="2D0112B1"/>
    <w:rsid w:val="2D027B1C"/>
    <w:rsid w:val="2D0B1253"/>
    <w:rsid w:val="2D174F65"/>
    <w:rsid w:val="2D2A442B"/>
    <w:rsid w:val="2D332116"/>
    <w:rsid w:val="2D342201"/>
    <w:rsid w:val="2D605A2C"/>
    <w:rsid w:val="2D6A79C6"/>
    <w:rsid w:val="2D891D2A"/>
    <w:rsid w:val="2DCF583D"/>
    <w:rsid w:val="2DE2504F"/>
    <w:rsid w:val="2E0B0788"/>
    <w:rsid w:val="2E73752C"/>
    <w:rsid w:val="2E793D8B"/>
    <w:rsid w:val="2E7C117A"/>
    <w:rsid w:val="2E9A206B"/>
    <w:rsid w:val="2EA71D04"/>
    <w:rsid w:val="2EA944E5"/>
    <w:rsid w:val="2EB20097"/>
    <w:rsid w:val="2ECA189C"/>
    <w:rsid w:val="2ED5449A"/>
    <w:rsid w:val="2EF15859"/>
    <w:rsid w:val="2F235D1C"/>
    <w:rsid w:val="2F386E78"/>
    <w:rsid w:val="2F4B7019"/>
    <w:rsid w:val="2F515B35"/>
    <w:rsid w:val="2F5547A8"/>
    <w:rsid w:val="2F663B86"/>
    <w:rsid w:val="2F7E45B4"/>
    <w:rsid w:val="2F8C11EA"/>
    <w:rsid w:val="2F910307"/>
    <w:rsid w:val="2FAE12E4"/>
    <w:rsid w:val="2FAF0A98"/>
    <w:rsid w:val="2FC364DF"/>
    <w:rsid w:val="2FC61D58"/>
    <w:rsid w:val="2FD22F54"/>
    <w:rsid w:val="2FE2579C"/>
    <w:rsid w:val="2FE510F3"/>
    <w:rsid w:val="2FED46A6"/>
    <w:rsid w:val="2FF67E6D"/>
    <w:rsid w:val="2FFB6A84"/>
    <w:rsid w:val="30381FB1"/>
    <w:rsid w:val="3067503C"/>
    <w:rsid w:val="30853950"/>
    <w:rsid w:val="308B0AC8"/>
    <w:rsid w:val="309F2E6E"/>
    <w:rsid w:val="30D90A55"/>
    <w:rsid w:val="30FC62B9"/>
    <w:rsid w:val="31002991"/>
    <w:rsid w:val="31365175"/>
    <w:rsid w:val="31382A24"/>
    <w:rsid w:val="31697602"/>
    <w:rsid w:val="317E0D61"/>
    <w:rsid w:val="318836FA"/>
    <w:rsid w:val="31BE4EB7"/>
    <w:rsid w:val="31C41725"/>
    <w:rsid w:val="31C42245"/>
    <w:rsid w:val="31C618A3"/>
    <w:rsid w:val="31E17913"/>
    <w:rsid w:val="320149DD"/>
    <w:rsid w:val="32097711"/>
    <w:rsid w:val="32216F41"/>
    <w:rsid w:val="322931AD"/>
    <w:rsid w:val="323C3C96"/>
    <w:rsid w:val="323D7453"/>
    <w:rsid w:val="323E721E"/>
    <w:rsid w:val="324D770D"/>
    <w:rsid w:val="328722D1"/>
    <w:rsid w:val="32CF7A07"/>
    <w:rsid w:val="330062BC"/>
    <w:rsid w:val="331162D7"/>
    <w:rsid w:val="331D0B0A"/>
    <w:rsid w:val="332E7DEA"/>
    <w:rsid w:val="334759A4"/>
    <w:rsid w:val="336A25AB"/>
    <w:rsid w:val="337A1E27"/>
    <w:rsid w:val="339A0295"/>
    <w:rsid w:val="33C00A6D"/>
    <w:rsid w:val="33C57AA9"/>
    <w:rsid w:val="33E148D1"/>
    <w:rsid w:val="33EA7FE4"/>
    <w:rsid w:val="33ED4473"/>
    <w:rsid w:val="342375ED"/>
    <w:rsid w:val="343A668A"/>
    <w:rsid w:val="34542776"/>
    <w:rsid w:val="34BD290E"/>
    <w:rsid w:val="350F60E0"/>
    <w:rsid w:val="355401A2"/>
    <w:rsid w:val="3595011C"/>
    <w:rsid w:val="35C27EB5"/>
    <w:rsid w:val="35C5441D"/>
    <w:rsid w:val="3603392D"/>
    <w:rsid w:val="36193BAB"/>
    <w:rsid w:val="36195F5D"/>
    <w:rsid w:val="361B4CED"/>
    <w:rsid w:val="361B5C24"/>
    <w:rsid w:val="362654FB"/>
    <w:rsid w:val="362A75E9"/>
    <w:rsid w:val="36637767"/>
    <w:rsid w:val="368B6E6E"/>
    <w:rsid w:val="3697072A"/>
    <w:rsid w:val="36C10F94"/>
    <w:rsid w:val="36ED7CE3"/>
    <w:rsid w:val="36F96C69"/>
    <w:rsid w:val="370F7033"/>
    <w:rsid w:val="373B696B"/>
    <w:rsid w:val="3742638A"/>
    <w:rsid w:val="37541892"/>
    <w:rsid w:val="375A7BFF"/>
    <w:rsid w:val="376A36EC"/>
    <w:rsid w:val="378360D4"/>
    <w:rsid w:val="37913B7E"/>
    <w:rsid w:val="37915804"/>
    <w:rsid w:val="37A70A79"/>
    <w:rsid w:val="37AA3F5B"/>
    <w:rsid w:val="37B00988"/>
    <w:rsid w:val="37B60D10"/>
    <w:rsid w:val="37B67031"/>
    <w:rsid w:val="37D5310B"/>
    <w:rsid w:val="37D53CBD"/>
    <w:rsid w:val="37F05574"/>
    <w:rsid w:val="380043B0"/>
    <w:rsid w:val="3803737E"/>
    <w:rsid w:val="38107CE7"/>
    <w:rsid w:val="381D18B4"/>
    <w:rsid w:val="38417132"/>
    <w:rsid w:val="3843296D"/>
    <w:rsid w:val="386705D1"/>
    <w:rsid w:val="38715F5F"/>
    <w:rsid w:val="389F2B26"/>
    <w:rsid w:val="38AC0079"/>
    <w:rsid w:val="3921429F"/>
    <w:rsid w:val="393121FD"/>
    <w:rsid w:val="39655007"/>
    <w:rsid w:val="39674D20"/>
    <w:rsid w:val="3969383E"/>
    <w:rsid w:val="397052C0"/>
    <w:rsid w:val="3978527B"/>
    <w:rsid w:val="398E7ABB"/>
    <w:rsid w:val="39B15F9C"/>
    <w:rsid w:val="39B653E7"/>
    <w:rsid w:val="39B76B4C"/>
    <w:rsid w:val="39C05C2D"/>
    <w:rsid w:val="39CB3A9D"/>
    <w:rsid w:val="39CF6153"/>
    <w:rsid w:val="39D766DD"/>
    <w:rsid w:val="39F96AE6"/>
    <w:rsid w:val="3A0818B7"/>
    <w:rsid w:val="3A3F0446"/>
    <w:rsid w:val="3A6D24B2"/>
    <w:rsid w:val="3A6D3F6D"/>
    <w:rsid w:val="3A7B48F3"/>
    <w:rsid w:val="3A880AE7"/>
    <w:rsid w:val="3AB8647F"/>
    <w:rsid w:val="3ABF37A5"/>
    <w:rsid w:val="3AF7077F"/>
    <w:rsid w:val="3B022497"/>
    <w:rsid w:val="3B060F8A"/>
    <w:rsid w:val="3B130927"/>
    <w:rsid w:val="3B270A63"/>
    <w:rsid w:val="3B3C28AC"/>
    <w:rsid w:val="3B4708D4"/>
    <w:rsid w:val="3B76762D"/>
    <w:rsid w:val="3B894DB8"/>
    <w:rsid w:val="3B9E65C0"/>
    <w:rsid w:val="3B9F3D18"/>
    <w:rsid w:val="3BAD3D8D"/>
    <w:rsid w:val="3BB51A3F"/>
    <w:rsid w:val="3BBF6302"/>
    <w:rsid w:val="3BDA170A"/>
    <w:rsid w:val="3BE54249"/>
    <w:rsid w:val="3BF61767"/>
    <w:rsid w:val="3C044190"/>
    <w:rsid w:val="3C1A21A9"/>
    <w:rsid w:val="3C2835BD"/>
    <w:rsid w:val="3C2B41DD"/>
    <w:rsid w:val="3C3C19F2"/>
    <w:rsid w:val="3C4E0FF7"/>
    <w:rsid w:val="3C505501"/>
    <w:rsid w:val="3C8C15C3"/>
    <w:rsid w:val="3C9202F4"/>
    <w:rsid w:val="3C9F2359"/>
    <w:rsid w:val="3CBB75A0"/>
    <w:rsid w:val="3CED67F5"/>
    <w:rsid w:val="3D00070E"/>
    <w:rsid w:val="3D58604F"/>
    <w:rsid w:val="3D5C2AEE"/>
    <w:rsid w:val="3D637DA5"/>
    <w:rsid w:val="3D7971FA"/>
    <w:rsid w:val="3DB25C5C"/>
    <w:rsid w:val="3DBB4349"/>
    <w:rsid w:val="3DD83F81"/>
    <w:rsid w:val="3DDC0AEC"/>
    <w:rsid w:val="3DE839BD"/>
    <w:rsid w:val="3E047FBB"/>
    <w:rsid w:val="3E3157A7"/>
    <w:rsid w:val="3E3548B3"/>
    <w:rsid w:val="3E462CB7"/>
    <w:rsid w:val="3E61608E"/>
    <w:rsid w:val="3E831AD8"/>
    <w:rsid w:val="3EB43930"/>
    <w:rsid w:val="3EB87FAB"/>
    <w:rsid w:val="3EC74067"/>
    <w:rsid w:val="3ECE46E4"/>
    <w:rsid w:val="3EDC0512"/>
    <w:rsid w:val="3EE52FFD"/>
    <w:rsid w:val="3F0B6D66"/>
    <w:rsid w:val="3F1B3814"/>
    <w:rsid w:val="3F571FA3"/>
    <w:rsid w:val="3F582CFC"/>
    <w:rsid w:val="3F9358A1"/>
    <w:rsid w:val="3FBC48EB"/>
    <w:rsid w:val="3FE73765"/>
    <w:rsid w:val="3FF633CF"/>
    <w:rsid w:val="402D2E41"/>
    <w:rsid w:val="403F7ED2"/>
    <w:rsid w:val="40645CF7"/>
    <w:rsid w:val="408E5ACA"/>
    <w:rsid w:val="40A37843"/>
    <w:rsid w:val="40C53B3B"/>
    <w:rsid w:val="414D6BB8"/>
    <w:rsid w:val="415E2F77"/>
    <w:rsid w:val="418C61C9"/>
    <w:rsid w:val="41C1061E"/>
    <w:rsid w:val="41EA22ED"/>
    <w:rsid w:val="41EC231E"/>
    <w:rsid w:val="41ED27DA"/>
    <w:rsid w:val="41F02E9D"/>
    <w:rsid w:val="42060220"/>
    <w:rsid w:val="421112BE"/>
    <w:rsid w:val="42357461"/>
    <w:rsid w:val="42503BC8"/>
    <w:rsid w:val="42603606"/>
    <w:rsid w:val="4275689A"/>
    <w:rsid w:val="427C650A"/>
    <w:rsid w:val="42C74182"/>
    <w:rsid w:val="42CF25CA"/>
    <w:rsid w:val="42DC78D9"/>
    <w:rsid w:val="430B699E"/>
    <w:rsid w:val="432E5F31"/>
    <w:rsid w:val="4333150B"/>
    <w:rsid w:val="437605B8"/>
    <w:rsid w:val="437B50C1"/>
    <w:rsid w:val="439A18C6"/>
    <w:rsid w:val="43CA3222"/>
    <w:rsid w:val="43CC1B50"/>
    <w:rsid w:val="43CC53F1"/>
    <w:rsid w:val="43F35F7A"/>
    <w:rsid w:val="43FC3F5B"/>
    <w:rsid w:val="440151D0"/>
    <w:rsid w:val="440847DA"/>
    <w:rsid w:val="44397762"/>
    <w:rsid w:val="447B6611"/>
    <w:rsid w:val="447E315B"/>
    <w:rsid w:val="447F608D"/>
    <w:rsid w:val="448E0676"/>
    <w:rsid w:val="449259EF"/>
    <w:rsid w:val="44C0604F"/>
    <w:rsid w:val="44DD40B9"/>
    <w:rsid w:val="44E60EA8"/>
    <w:rsid w:val="45073AEE"/>
    <w:rsid w:val="45074900"/>
    <w:rsid w:val="450F08AC"/>
    <w:rsid w:val="45240565"/>
    <w:rsid w:val="454824AF"/>
    <w:rsid w:val="455466B8"/>
    <w:rsid w:val="45605CDC"/>
    <w:rsid w:val="457F65EC"/>
    <w:rsid w:val="45902244"/>
    <w:rsid w:val="45BD04C5"/>
    <w:rsid w:val="45DF71E8"/>
    <w:rsid w:val="45E97242"/>
    <w:rsid w:val="45EA4817"/>
    <w:rsid w:val="45F906C5"/>
    <w:rsid w:val="460D13D3"/>
    <w:rsid w:val="46223E41"/>
    <w:rsid w:val="4626327D"/>
    <w:rsid w:val="462B24B3"/>
    <w:rsid w:val="46771E1E"/>
    <w:rsid w:val="46791A91"/>
    <w:rsid w:val="467D45F3"/>
    <w:rsid w:val="4693622C"/>
    <w:rsid w:val="46A17F0E"/>
    <w:rsid w:val="46AB3ED3"/>
    <w:rsid w:val="46B368DA"/>
    <w:rsid w:val="46D904E6"/>
    <w:rsid w:val="46D93B79"/>
    <w:rsid w:val="46E36669"/>
    <w:rsid w:val="46E75790"/>
    <w:rsid w:val="46EB117D"/>
    <w:rsid w:val="470D1095"/>
    <w:rsid w:val="47206F60"/>
    <w:rsid w:val="473D2B25"/>
    <w:rsid w:val="473F57BE"/>
    <w:rsid w:val="474F15CD"/>
    <w:rsid w:val="475704B6"/>
    <w:rsid w:val="477250B1"/>
    <w:rsid w:val="47834EFF"/>
    <w:rsid w:val="479C0BA9"/>
    <w:rsid w:val="47CA5249"/>
    <w:rsid w:val="47DB0165"/>
    <w:rsid w:val="47E60B68"/>
    <w:rsid w:val="47F2592D"/>
    <w:rsid w:val="47F74782"/>
    <w:rsid w:val="48095840"/>
    <w:rsid w:val="48473C5C"/>
    <w:rsid w:val="484D5CFD"/>
    <w:rsid w:val="48622C3C"/>
    <w:rsid w:val="486C087B"/>
    <w:rsid w:val="48923342"/>
    <w:rsid w:val="4892460A"/>
    <w:rsid w:val="48A425BA"/>
    <w:rsid w:val="48A87197"/>
    <w:rsid w:val="48AD0212"/>
    <w:rsid w:val="48AE6FEF"/>
    <w:rsid w:val="48BC1F1A"/>
    <w:rsid w:val="48D6661A"/>
    <w:rsid w:val="48E35816"/>
    <w:rsid w:val="48F94971"/>
    <w:rsid w:val="490276D6"/>
    <w:rsid w:val="4906240B"/>
    <w:rsid w:val="490C7987"/>
    <w:rsid w:val="491949C6"/>
    <w:rsid w:val="492B1741"/>
    <w:rsid w:val="492B3617"/>
    <w:rsid w:val="49796486"/>
    <w:rsid w:val="49AB5336"/>
    <w:rsid w:val="49AF02C8"/>
    <w:rsid w:val="49B64036"/>
    <w:rsid w:val="49C532ED"/>
    <w:rsid w:val="49C84A19"/>
    <w:rsid w:val="49E95D92"/>
    <w:rsid w:val="49EA1002"/>
    <w:rsid w:val="49EC3FD0"/>
    <w:rsid w:val="4A003B9D"/>
    <w:rsid w:val="4A1A7615"/>
    <w:rsid w:val="4A277CC0"/>
    <w:rsid w:val="4A321C26"/>
    <w:rsid w:val="4A475F30"/>
    <w:rsid w:val="4A5473C8"/>
    <w:rsid w:val="4A587287"/>
    <w:rsid w:val="4A5C07FC"/>
    <w:rsid w:val="4A65737D"/>
    <w:rsid w:val="4A8F733A"/>
    <w:rsid w:val="4AB65388"/>
    <w:rsid w:val="4AC30878"/>
    <w:rsid w:val="4AC410CC"/>
    <w:rsid w:val="4ACC0A2B"/>
    <w:rsid w:val="4ADF6593"/>
    <w:rsid w:val="4AF25187"/>
    <w:rsid w:val="4AFF72BC"/>
    <w:rsid w:val="4B3E3B36"/>
    <w:rsid w:val="4B4A39F1"/>
    <w:rsid w:val="4B5527C3"/>
    <w:rsid w:val="4B8256A0"/>
    <w:rsid w:val="4BCA5AB7"/>
    <w:rsid w:val="4BEC66C0"/>
    <w:rsid w:val="4BF40323"/>
    <w:rsid w:val="4C0A52D7"/>
    <w:rsid w:val="4C2F48B8"/>
    <w:rsid w:val="4C3360E3"/>
    <w:rsid w:val="4C477573"/>
    <w:rsid w:val="4CA812C2"/>
    <w:rsid w:val="4CC65F0B"/>
    <w:rsid w:val="4D1155A6"/>
    <w:rsid w:val="4D5912A0"/>
    <w:rsid w:val="4D5F70AB"/>
    <w:rsid w:val="4D952C5F"/>
    <w:rsid w:val="4DC47FF0"/>
    <w:rsid w:val="4DCA30CC"/>
    <w:rsid w:val="4DD70801"/>
    <w:rsid w:val="4E0E0A55"/>
    <w:rsid w:val="4E136899"/>
    <w:rsid w:val="4E481607"/>
    <w:rsid w:val="4E4C3DD5"/>
    <w:rsid w:val="4E5B7F06"/>
    <w:rsid w:val="4E806DF5"/>
    <w:rsid w:val="4E9E7DC3"/>
    <w:rsid w:val="4EAE5AB4"/>
    <w:rsid w:val="4EBD5544"/>
    <w:rsid w:val="4ECA7879"/>
    <w:rsid w:val="4ED657E3"/>
    <w:rsid w:val="4ED80E22"/>
    <w:rsid w:val="4EE94B3E"/>
    <w:rsid w:val="4EF11572"/>
    <w:rsid w:val="4F171BDE"/>
    <w:rsid w:val="4F1A12FD"/>
    <w:rsid w:val="4F370B8D"/>
    <w:rsid w:val="4F387291"/>
    <w:rsid w:val="4F3B2A24"/>
    <w:rsid w:val="4F5F4373"/>
    <w:rsid w:val="4F64571A"/>
    <w:rsid w:val="4F6F2818"/>
    <w:rsid w:val="4F7D7538"/>
    <w:rsid w:val="4F9B1B25"/>
    <w:rsid w:val="4FB64659"/>
    <w:rsid w:val="4FB97C25"/>
    <w:rsid w:val="4FEB2274"/>
    <w:rsid w:val="4FF067BB"/>
    <w:rsid w:val="50156AF3"/>
    <w:rsid w:val="501D2A3B"/>
    <w:rsid w:val="50245FDC"/>
    <w:rsid w:val="50420F1A"/>
    <w:rsid w:val="50452012"/>
    <w:rsid w:val="504E2C6D"/>
    <w:rsid w:val="505D46F2"/>
    <w:rsid w:val="506472F1"/>
    <w:rsid w:val="506B47E9"/>
    <w:rsid w:val="50806172"/>
    <w:rsid w:val="50AA2CB6"/>
    <w:rsid w:val="50AB0C10"/>
    <w:rsid w:val="50B82EFC"/>
    <w:rsid w:val="50B94F02"/>
    <w:rsid w:val="50CA49E1"/>
    <w:rsid w:val="51331FF7"/>
    <w:rsid w:val="51517B7E"/>
    <w:rsid w:val="51554932"/>
    <w:rsid w:val="51735D8D"/>
    <w:rsid w:val="51852B65"/>
    <w:rsid w:val="5189242E"/>
    <w:rsid w:val="51E42966"/>
    <w:rsid w:val="51F86C97"/>
    <w:rsid w:val="521F13EB"/>
    <w:rsid w:val="52330FAD"/>
    <w:rsid w:val="52AF7573"/>
    <w:rsid w:val="52C30D84"/>
    <w:rsid w:val="52C36C55"/>
    <w:rsid w:val="52CA6537"/>
    <w:rsid w:val="52DF3896"/>
    <w:rsid w:val="52E0386C"/>
    <w:rsid w:val="52FA0741"/>
    <w:rsid w:val="530A2FE3"/>
    <w:rsid w:val="531047C3"/>
    <w:rsid w:val="531C58E5"/>
    <w:rsid w:val="531F422D"/>
    <w:rsid w:val="53483B32"/>
    <w:rsid w:val="534F5735"/>
    <w:rsid w:val="53B96DC0"/>
    <w:rsid w:val="53C200CF"/>
    <w:rsid w:val="53E82EDF"/>
    <w:rsid w:val="540737CE"/>
    <w:rsid w:val="544516C7"/>
    <w:rsid w:val="54591896"/>
    <w:rsid w:val="54697470"/>
    <w:rsid w:val="54763794"/>
    <w:rsid w:val="54A338B8"/>
    <w:rsid w:val="54A40115"/>
    <w:rsid w:val="54C802C1"/>
    <w:rsid w:val="54C84CAF"/>
    <w:rsid w:val="54E8553E"/>
    <w:rsid w:val="551872DC"/>
    <w:rsid w:val="55596AC1"/>
    <w:rsid w:val="55622354"/>
    <w:rsid w:val="55682889"/>
    <w:rsid w:val="55771522"/>
    <w:rsid w:val="55A67E0A"/>
    <w:rsid w:val="55C8073A"/>
    <w:rsid w:val="55D67EF5"/>
    <w:rsid w:val="55FF6097"/>
    <w:rsid w:val="560D7589"/>
    <w:rsid w:val="562E19E2"/>
    <w:rsid w:val="56551977"/>
    <w:rsid w:val="567A4FED"/>
    <w:rsid w:val="56B40E62"/>
    <w:rsid w:val="56C858E1"/>
    <w:rsid w:val="56E555B5"/>
    <w:rsid w:val="57201FD3"/>
    <w:rsid w:val="5753270F"/>
    <w:rsid w:val="577C0F5D"/>
    <w:rsid w:val="578F1872"/>
    <w:rsid w:val="57AD52CF"/>
    <w:rsid w:val="57B34215"/>
    <w:rsid w:val="57C33512"/>
    <w:rsid w:val="57D3776F"/>
    <w:rsid w:val="580509A6"/>
    <w:rsid w:val="584A4D37"/>
    <w:rsid w:val="5859540D"/>
    <w:rsid w:val="587A5561"/>
    <w:rsid w:val="587F7F51"/>
    <w:rsid w:val="58E12F64"/>
    <w:rsid w:val="58EB21A4"/>
    <w:rsid w:val="59033B27"/>
    <w:rsid w:val="597E7350"/>
    <w:rsid w:val="598F6AE2"/>
    <w:rsid w:val="599754C1"/>
    <w:rsid w:val="59A52A08"/>
    <w:rsid w:val="59B742D8"/>
    <w:rsid w:val="5A1637B0"/>
    <w:rsid w:val="5A526549"/>
    <w:rsid w:val="5A8721DF"/>
    <w:rsid w:val="5A9C679D"/>
    <w:rsid w:val="5AA336BA"/>
    <w:rsid w:val="5AA673A3"/>
    <w:rsid w:val="5AFE137C"/>
    <w:rsid w:val="5B0E39A9"/>
    <w:rsid w:val="5B1607EB"/>
    <w:rsid w:val="5B1C5FAA"/>
    <w:rsid w:val="5B296F0D"/>
    <w:rsid w:val="5B2D6009"/>
    <w:rsid w:val="5B444AB3"/>
    <w:rsid w:val="5B5B6472"/>
    <w:rsid w:val="5B8C138D"/>
    <w:rsid w:val="5B9216B5"/>
    <w:rsid w:val="5BB61C6C"/>
    <w:rsid w:val="5BC94BAD"/>
    <w:rsid w:val="5C3513D0"/>
    <w:rsid w:val="5C7B2E30"/>
    <w:rsid w:val="5CA548F1"/>
    <w:rsid w:val="5CC82378"/>
    <w:rsid w:val="5CDC1CBA"/>
    <w:rsid w:val="5CE402DF"/>
    <w:rsid w:val="5CE945F2"/>
    <w:rsid w:val="5CF75238"/>
    <w:rsid w:val="5D0E1D61"/>
    <w:rsid w:val="5D0E5923"/>
    <w:rsid w:val="5D320A12"/>
    <w:rsid w:val="5D715D4C"/>
    <w:rsid w:val="5D7755E1"/>
    <w:rsid w:val="5D9B2DD5"/>
    <w:rsid w:val="5DBD277D"/>
    <w:rsid w:val="5DF32056"/>
    <w:rsid w:val="5DF728F5"/>
    <w:rsid w:val="5E024CFD"/>
    <w:rsid w:val="5E177B5C"/>
    <w:rsid w:val="5E3F35A7"/>
    <w:rsid w:val="5E8022A9"/>
    <w:rsid w:val="5E9570DF"/>
    <w:rsid w:val="5E963741"/>
    <w:rsid w:val="5EA00BEA"/>
    <w:rsid w:val="5ECA2A1B"/>
    <w:rsid w:val="5ED20055"/>
    <w:rsid w:val="5EEE489D"/>
    <w:rsid w:val="5EFD3ACE"/>
    <w:rsid w:val="5EFF55F1"/>
    <w:rsid w:val="5F15483E"/>
    <w:rsid w:val="5F196C1B"/>
    <w:rsid w:val="5F2866C7"/>
    <w:rsid w:val="5F476687"/>
    <w:rsid w:val="5F5B0EAF"/>
    <w:rsid w:val="5F6F7706"/>
    <w:rsid w:val="5F7571FB"/>
    <w:rsid w:val="5F891E1C"/>
    <w:rsid w:val="5FA77E31"/>
    <w:rsid w:val="5FB5171A"/>
    <w:rsid w:val="5FC30E96"/>
    <w:rsid w:val="5FF91A50"/>
    <w:rsid w:val="606F528D"/>
    <w:rsid w:val="60706197"/>
    <w:rsid w:val="607776BE"/>
    <w:rsid w:val="608A25B8"/>
    <w:rsid w:val="60957F0C"/>
    <w:rsid w:val="60977927"/>
    <w:rsid w:val="60AE2F52"/>
    <w:rsid w:val="60B518B0"/>
    <w:rsid w:val="60D40391"/>
    <w:rsid w:val="60EB2E67"/>
    <w:rsid w:val="60FE1FCC"/>
    <w:rsid w:val="61040D12"/>
    <w:rsid w:val="611909B4"/>
    <w:rsid w:val="614538D4"/>
    <w:rsid w:val="615A53BE"/>
    <w:rsid w:val="61DA5315"/>
    <w:rsid w:val="61F0042C"/>
    <w:rsid w:val="61FD3836"/>
    <w:rsid w:val="62011695"/>
    <w:rsid w:val="620A0BD3"/>
    <w:rsid w:val="620E3548"/>
    <w:rsid w:val="62224F1C"/>
    <w:rsid w:val="62D420A8"/>
    <w:rsid w:val="63252DC4"/>
    <w:rsid w:val="632B644A"/>
    <w:rsid w:val="635B4CA8"/>
    <w:rsid w:val="636D2858"/>
    <w:rsid w:val="63811DA6"/>
    <w:rsid w:val="638448F2"/>
    <w:rsid w:val="63862DFF"/>
    <w:rsid w:val="638E1574"/>
    <w:rsid w:val="63916584"/>
    <w:rsid w:val="63A2705F"/>
    <w:rsid w:val="63B647BE"/>
    <w:rsid w:val="63BE5727"/>
    <w:rsid w:val="63D409FC"/>
    <w:rsid w:val="63DA698F"/>
    <w:rsid w:val="63DC701D"/>
    <w:rsid w:val="640C1051"/>
    <w:rsid w:val="643806A7"/>
    <w:rsid w:val="64777837"/>
    <w:rsid w:val="649432A1"/>
    <w:rsid w:val="64962598"/>
    <w:rsid w:val="649E7319"/>
    <w:rsid w:val="64A36533"/>
    <w:rsid w:val="64A37D88"/>
    <w:rsid w:val="64A44981"/>
    <w:rsid w:val="64B614DF"/>
    <w:rsid w:val="64B7561D"/>
    <w:rsid w:val="64D17F1F"/>
    <w:rsid w:val="651B4B76"/>
    <w:rsid w:val="651F4261"/>
    <w:rsid w:val="654127A0"/>
    <w:rsid w:val="6567548A"/>
    <w:rsid w:val="65765179"/>
    <w:rsid w:val="657F5174"/>
    <w:rsid w:val="65A95485"/>
    <w:rsid w:val="66431F6F"/>
    <w:rsid w:val="664D39B0"/>
    <w:rsid w:val="66516D86"/>
    <w:rsid w:val="666966BD"/>
    <w:rsid w:val="668357FF"/>
    <w:rsid w:val="66932B0E"/>
    <w:rsid w:val="66A604E3"/>
    <w:rsid w:val="66AB74BC"/>
    <w:rsid w:val="66BF51E1"/>
    <w:rsid w:val="66FA4627"/>
    <w:rsid w:val="66FD0B4A"/>
    <w:rsid w:val="67161425"/>
    <w:rsid w:val="671F4BA1"/>
    <w:rsid w:val="67201539"/>
    <w:rsid w:val="67242FA7"/>
    <w:rsid w:val="67483950"/>
    <w:rsid w:val="676111A5"/>
    <w:rsid w:val="67A2447A"/>
    <w:rsid w:val="67A43366"/>
    <w:rsid w:val="67AB308A"/>
    <w:rsid w:val="67CA1826"/>
    <w:rsid w:val="67D30103"/>
    <w:rsid w:val="67EF7AB2"/>
    <w:rsid w:val="67FC6EB2"/>
    <w:rsid w:val="682F1D45"/>
    <w:rsid w:val="683445F4"/>
    <w:rsid w:val="683D48AD"/>
    <w:rsid w:val="68435538"/>
    <w:rsid w:val="68617A43"/>
    <w:rsid w:val="68B24518"/>
    <w:rsid w:val="68BB1AF8"/>
    <w:rsid w:val="68CA7AD3"/>
    <w:rsid w:val="68E71CC0"/>
    <w:rsid w:val="69040F0F"/>
    <w:rsid w:val="6926033A"/>
    <w:rsid w:val="693C386B"/>
    <w:rsid w:val="6956417E"/>
    <w:rsid w:val="69805C90"/>
    <w:rsid w:val="69864157"/>
    <w:rsid w:val="69902208"/>
    <w:rsid w:val="69A74CFA"/>
    <w:rsid w:val="69A81AEA"/>
    <w:rsid w:val="69D47F8A"/>
    <w:rsid w:val="69E27513"/>
    <w:rsid w:val="69E350F8"/>
    <w:rsid w:val="69E777D5"/>
    <w:rsid w:val="6A0362A6"/>
    <w:rsid w:val="6A367597"/>
    <w:rsid w:val="6A4A7CD1"/>
    <w:rsid w:val="6A5D41EA"/>
    <w:rsid w:val="6A8966B4"/>
    <w:rsid w:val="6A9373E2"/>
    <w:rsid w:val="6ADC644C"/>
    <w:rsid w:val="6B103175"/>
    <w:rsid w:val="6B3836EA"/>
    <w:rsid w:val="6B3B67AB"/>
    <w:rsid w:val="6B63191A"/>
    <w:rsid w:val="6B8C15DE"/>
    <w:rsid w:val="6B9F391C"/>
    <w:rsid w:val="6BC12434"/>
    <w:rsid w:val="6BFE7613"/>
    <w:rsid w:val="6C240A1F"/>
    <w:rsid w:val="6C256E19"/>
    <w:rsid w:val="6C370838"/>
    <w:rsid w:val="6C3E61E7"/>
    <w:rsid w:val="6C5D36BD"/>
    <w:rsid w:val="6C7C77C8"/>
    <w:rsid w:val="6C90691A"/>
    <w:rsid w:val="6CAC63F7"/>
    <w:rsid w:val="6CC0514C"/>
    <w:rsid w:val="6CC4170D"/>
    <w:rsid w:val="6CEE177E"/>
    <w:rsid w:val="6D2F5886"/>
    <w:rsid w:val="6D38299F"/>
    <w:rsid w:val="6D435B17"/>
    <w:rsid w:val="6D582FC7"/>
    <w:rsid w:val="6D7154E2"/>
    <w:rsid w:val="6D7B3326"/>
    <w:rsid w:val="6D982C41"/>
    <w:rsid w:val="6DCF3B65"/>
    <w:rsid w:val="6DD0057A"/>
    <w:rsid w:val="6E324C94"/>
    <w:rsid w:val="6E36529D"/>
    <w:rsid w:val="6E41288E"/>
    <w:rsid w:val="6E46622A"/>
    <w:rsid w:val="6E6A44AC"/>
    <w:rsid w:val="6E895A58"/>
    <w:rsid w:val="6E9862AC"/>
    <w:rsid w:val="6ED1583C"/>
    <w:rsid w:val="6ED6774B"/>
    <w:rsid w:val="6EE71EDC"/>
    <w:rsid w:val="6EF62EDD"/>
    <w:rsid w:val="6F143021"/>
    <w:rsid w:val="6F1E7659"/>
    <w:rsid w:val="6F2275B5"/>
    <w:rsid w:val="6F3D4735"/>
    <w:rsid w:val="6F4C5880"/>
    <w:rsid w:val="6F747A99"/>
    <w:rsid w:val="6FDD7DD0"/>
    <w:rsid w:val="6FF86788"/>
    <w:rsid w:val="70160673"/>
    <w:rsid w:val="70320B87"/>
    <w:rsid w:val="703F4C89"/>
    <w:rsid w:val="70412AEC"/>
    <w:rsid w:val="70617269"/>
    <w:rsid w:val="708B5089"/>
    <w:rsid w:val="70952CFF"/>
    <w:rsid w:val="70B36B6A"/>
    <w:rsid w:val="70F5524E"/>
    <w:rsid w:val="71061DFD"/>
    <w:rsid w:val="71404ADF"/>
    <w:rsid w:val="71700B02"/>
    <w:rsid w:val="71747B7E"/>
    <w:rsid w:val="718C56BD"/>
    <w:rsid w:val="71E6093A"/>
    <w:rsid w:val="71FE1558"/>
    <w:rsid w:val="72307C2E"/>
    <w:rsid w:val="725735B0"/>
    <w:rsid w:val="72592F33"/>
    <w:rsid w:val="727E4DFB"/>
    <w:rsid w:val="728A1156"/>
    <w:rsid w:val="72B10A1F"/>
    <w:rsid w:val="72C74301"/>
    <w:rsid w:val="73997E54"/>
    <w:rsid w:val="73A04A34"/>
    <w:rsid w:val="73A42B81"/>
    <w:rsid w:val="73A86C23"/>
    <w:rsid w:val="73C20856"/>
    <w:rsid w:val="73C4160B"/>
    <w:rsid w:val="73CF2E22"/>
    <w:rsid w:val="73D5582B"/>
    <w:rsid w:val="73E13351"/>
    <w:rsid w:val="73E661A4"/>
    <w:rsid w:val="73EA052A"/>
    <w:rsid w:val="73ED4AD1"/>
    <w:rsid w:val="7403416E"/>
    <w:rsid w:val="74364986"/>
    <w:rsid w:val="743D4B75"/>
    <w:rsid w:val="74425048"/>
    <w:rsid w:val="7448184C"/>
    <w:rsid w:val="7468441C"/>
    <w:rsid w:val="7472163D"/>
    <w:rsid w:val="74C13BDD"/>
    <w:rsid w:val="74C42030"/>
    <w:rsid w:val="74C71D7D"/>
    <w:rsid w:val="74E03D37"/>
    <w:rsid w:val="74EB7CFE"/>
    <w:rsid w:val="7508549C"/>
    <w:rsid w:val="75186447"/>
    <w:rsid w:val="751B0958"/>
    <w:rsid w:val="75285500"/>
    <w:rsid w:val="75351E6C"/>
    <w:rsid w:val="753D1EF7"/>
    <w:rsid w:val="757738B8"/>
    <w:rsid w:val="759F0FED"/>
    <w:rsid w:val="75CE1A85"/>
    <w:rsid w:val="75D14001"/>
    <w:rsid w:val="75F628E6"/>
    <w:rsid w:val="76000FF1"/>
    <w:rsid w:val="760F1CD4"/>
    <w:rsid w:val="76102375"/>
    <w:rsid w:val="766C0DD5"/>
    <w:rsid w:val="766F60BF"/>
    <w:rsid w:val="767360F1"/>
    <w:rsid w:val="767F7E0D"/>
    <w:rsid w:val="76A34C01"/>
    <w:rsid w:val="76B020CA"/>
    <w:rsid w:val="76E96F59"/>
    <w:rsid w:val="76FE53FD"/>
    <w:rsid w:val="77050AA6"/>
    <w:rsid w:val="77074E29"/>
    <w:rsid w:val="77292683"/>
    <w:rsid w:val="7731206D"/>
    <w:rsid w:val="77606575"/>
    <w:rsid w:val="777E6C0A"/>
    <w:rsid w:val="778B5367"/>
    <w:rsid w:val="77930D2F"/>
    <w:rsid w:val="779D0FC3"/>
    <w:rsid w:val="77A65273"/>
    <w:rsid w:val="77B21B6B"/>
    <w:rsid w:val="77B35A33"/>
    <w:rsid w:val="77DA6EF2"/>
    <w:rsid w:val="77ED5AB1"/>
    <w:rsid w:val="780C18AE"/>
    <w:rsid w:val="78417D2B"/>
    <w:rsid w:val="78481A1B"/>
    <w:rsid w:val="7848241D"/>
    <w:rsid w:val="78657E70"/>
    <w:rsid w:val="78887FD7"/>
    <w:rsid w:val="78AF6557"/>
    <w:rsid w:val="78BA72BD"/>
    <w:rsid w:val="78C40E82"/>
    <w:rsid w:val="78D03C3A"/>
    <w:rsid w:val="78F63D48"/>
    <w:rsid w:val="79340ED2"/>
    <w:rsid w:val="79386928"/>
    <w:rsid w:val="7942256F"/>
    <w:rsid w:val="79490303"/>
    <w:rsid w:val="79515D8C"/>
    <w:rsid w:val="79613EC4"/>
    <w:rsid w:val="79802254"/>
    <w:rsid w:val="79927611"/>
    <w:rsid w:val="79B20143"/>
    <w:rsid w:val="79C60808"/>
    <w:rsid w:val="79D94025"/>
    <w:rsid w:val="79F52054"/>
    <w:rsid w:val="79F936F1"/>
    <w:rsid w:val="7A187592"/>
    <w:rsid w:val="7A3177E6"/>
    <w:rsid w:val="7A9E1694"/>
    <w:rsid w:val="7ACA0A0D"/>
    <w:rsid w:val="7B3B50AD"/>
    <w:rsid w:val="7B507E39"/>
    <w:rsid w:val="7B8749A6"/>
    <w:rsid w:val="7B956DEB"/>
    <w:rsid w:val="7BB61F81"/>
    <w:rsid w:val="7BBA1B32"/>
    <w:rsid w:val="7BC61B87"/>
    <w:rsid w:val="7BE705D8"/>
    <w:rsid w:val="7BF60671"/>
    <w:rsid w:val="7BFE72B1"/>
    <w:rsid w:val="7C1507C6"/>
    <w:rsid w:val="7C1C1E91"/>
    <w:rsid w:val="7C1C26FA"/>
    <w:rsid w:val="7C4F7C4B"/>
    <w:rsid w:val="7C81193A"/>
    <w:rsid w:val="7CCA69B1"/>
    <w:rsid w:val="7CE52B45"/>
    <w:rsid w:val="7CF257DF"/>
    <w:rsid w:val="7CFF1F99"/>
    <w:rsid w:val="7D0E735F"/>
    <w:rsid w:val="7D1D666B"/>
    <w:rsid w:val="7D3D7CB5"/>
    <w:rsid w:val="7D4B44F7"/>
    <w:rsid w:val="7D59239B"/>
    <w:rsid w:val="7D5D5781"/>
    <w:rsid w:val="7D843832"/>
    <w:rsid w:val="7D894399"/>
    <w:rsid w:val="7D8D73A7"/>
    <w:rsid w:val="7DA93E93"/>
    <w:rsid w:val="7DBA0C58"/>
    <w:rsid w:val="7DF639EB"/>
    <w:rsid w:val="7E232D92"/>
    <w:rsid w:val="7E3F5534"/>
    <w:rsid w:val="7E6E36DE"/>
    <w:rsid w:val="7E769C2C"/>
    <w:rsid w:val="7E8E535B"/>
    <w:rsid w:val="7F0C4C98"/>
    <w:rsid w:val="7F4C2FCD"/>
    <w:rsid w:val="7F56310C"/>
    <w:rsid w:val="7F87726B"/>
    <w:rsid w:val="7F8A0B50"/>
    <w:rsid w:val="7F9D3DB7"/>
    <w:rsid w:val="7FAC4BFC"/>
    <w:rsid w:val="7FB9662B"/>
    <w:rsid w:val="7FD456FE"/>
    <w:rsid w:val="BAFEDB13"/>
    <w:rsid w:val="FBFE5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qFormat="1" w:uiPriority="99"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32"/>
      <w:lang w:val="en-US" w:eastAsia="zh-CN" w:bidi="ar-SA"/>
    </w:rPr>
  </w:style>
  <w:style w:type="paragraph" w:styleId="4">
    <w:name w:val="heading 1"/>
    <w:basedOn w:val="1"/>
    <w:next w:val="1"/>
    <w:link w:val="23"/>
    <w:qFormat/>
    <w:uiPriority w:val="0"/>
    <w:pPr>
      <w:keepNext/>
      <w:keepLines/>
      <w:spacing w:line="640" w:lineRule="exact"/>
      <w:jc w:val="center"/>
      <w:outlineLvl w:val="0"/>
    </w:pPr>
    <w:rPr>
      <w:rFonts w:eastAsia="方正小标宋简体"/>
      <w:kern w:val="44"/>
      <w:sz w:val="44"/>
    </w:rPr>
  </w:style>
  <w:style w:type="paragraph" w:styleId="5">
    <w:name w:val="heading 2"/>
    <w:basedOn w:val="1"/>
    <w:next w:val="1"/>
    <w:link w:val="24"/>
    <w:unhideWhenUsed/>
    <w:qFormat/>
    <w:uiPriority w:val="0"/>
    <w:pPr>
      <w:keepNext/>
      <w:keepLines/>
      <w:spacing w:line="640" w:lineRule="exact"/>
      <w:ind w:firstLine="872" w:firstLineChars="200"/>
      <w:outlineLvl w:val="1"/>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28"/>
    <w:qFormat/>
    <w:uiPriority w:val="0"/>
    <w:pPr>
      <w:ind w:firstLine="640" w:firstLineChars="200"/>
    </w:pPr>
    <w:rPr>
      <w:rFonts w:ascii="Calibri" w:hAnsi="Calibri" w:eastAsia="仿宋"/>
    </w:rPr>
  </w:style>
  <w:style w:type="paragraph" w:styleId="3">
    <w:name w:val="Body Text 2"/>
    <w:basedOn w:val="1"/>
    <w:next w:val="2"/>
    <w:unhideWhenUsed/>
    <w:qFormat/>
    <w:uiPriority w:val="99"/>
    <w:pPr>
      <w:spacing w:after="120" w:line="480" w:lineRule="auto"/>
    </w:pPr>
  </w:style>
  <w:style w:type="paragraph" w:styleId="6">
    <w:name w:val="Document Map"/>
    <w:basedOn w:val="1"/>
    <w:link w:val="29"/>
    <w:qFormat/>
    <w:uiPriority w:val="0"/>
    <w:rPr>
      <w:rFonts w:ascii="宋体" w:eastAsia="宋体"/>
      <w:sz w:val="18"/>
      <w:szCs w:val="18"/>
    </w:rPr>
  </w:style>
  <w:style w:type="paragraph" w:styleId="7">
    <w:name w:val="annotation text"/>
    <w:basedOn w:val="1"/>
    <w:link w:val="30"/>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jc w:val="left"/>
    </w:pPr>
    <w:rPr>
      <w:rFonts w:cs="Times New Roman"/>
      <w:kern w:val="0"/>
      <w:sz w:val="24"/>
    </w:rPr>
  </w:style>
  <w:style w:type="paragraph" w:styleId="13">
    <w:name w:val="Body Text First Indent"/>
    <w:basedOn w:val="2"/>
    <w:qFormat/>
    <w:uiPriority w:val="0"/>
    <w:pPr>
      <w:ind w:firstLine="420"/>
    </w:pPr>
    <w:rPr>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qFormat/>
    <w:uiPriority w:val="0"/>
    <w:rPr>
      <w:b/>
    </w:rPr>
  </w:style>
  <w:style w:type="character" w:styleId="18">
    <w:name w:val="FollowedHyperlink"/>
    <w:basedOn w:val="16"/>
    <w:semiHidden/>
    <w:unhideWhenUsed/>
    <w:qFormat/>
    <w:uiPriority w:val="0"/>
    <w:rPr>
      <w:rFonts w:hint="eastAsia" w:ascii="宋体" w:hAnsi="宋体" w:eastAsia="宋体" w:cs="宋体"/>
      <w:color w:val="333333"/>
      <w:u w:val="none"/>
    </w:rPr>
  </w:style>
  <w:style w:type="character" w:styleId="19">
    <w:name w:val="Emphasis"/>
    <w:basedOn w:val="16"/>
    <w:qFormat/>
    <w:uiPriority w:val="0"/>
    <w:rPr>
      <w:i/>
    </w:rPr>
  </w:style>
  <w:style w:type="character" w:styleId="20">
    <w:name w:val="Hyperlink"/>
    <w:basedOn w:val="16"/>
    <w:unhideWhenUsed/>
    <w:qFormat/>
    <w:uiPriority w:val="99"/>
    <w:rPr>
      <w:color w:val="0563C1" w:themeColor="hyperlink"/>
      <w:u w:val="single"/>
      <w14:textFill>
        <w14:solidFill>
          <w14:schemeClr w14:val="hlink"/>
        </w14:solidFill>
      </w14:textFill>
    </w:rPr>
  </w:style>
  <w:style w:type="character" w:styleId="21">
    <w:name w:val="annotation reference"/>
    <w:basedOn w:val="16"/>
    <w:semiHidden/>
    <w:qFormat/>
    <w:uiPriority w:val="0"/>
    <w:rPr>
      <w:sz w:val="21"/>
      <w:szCs w:val="21"/>
    </w:rPr>
  </w:style>
  <w:style w:type="paragraph" w:customStyle="1" w:styleId="22">
    <w:name w:val="Body Text First Indent1"/>
    <w:basedOn w:val="2"/>
    <w:qFormat/>
    <w:uiPriority w:val="0"/>
    <w:pPr>
      <w:ind w:firstLine="420"/>
    </w:pPr>
    <w:rPr>
      <w:bCs/>
    </w:rPr>
  </w:style>
  <w:style w:type="character" w:customStyle="1" w:styleId="23">
    <w:name w:val="标题 1 字符"/>
    <w:link w:val="4"/>
    <w:qFormat/>
    <w:uiPriority w:val="0"/>
    <w:rPr>
      <w:rFonts w:eastAsia="方正小标宋简体" w:asciiTheme="minorHAnsi" w:hAnsiTheme="minorHAnsi"/>
      <w:kern w:val="44"/>
      <w:sz w:val="44"/>
    </w:rPr>
  </w:style>
  <w:style w:type="character" w:customStyle="1" w:styleId="24">
    <w:name w:val="标题 2 字符"/>
    <w:link w:val="5"/>
    <w:qFormat/>
    <w:uiPriority w:val="0"/>
    <w:rPr>
      <w:rFonts w:ascii="Arial" w:hAnsi="Arial" w:eastAsia="黑体"/>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7">
    <w:name w:val="NormalCharacter"/>
    <w:semiHidden/>
    <w:qFormat/>
    <w:uiPriority w:val="0"/>
    <w:rPr>
      <w:rFonts w:eastAsia="仿宋_GB2312" w:asciiTheme="minorHAnsi" w:hAnsiTheme="minorHAnsi" w:cstheme="minorBidi"/>
      <w:kern w:val="2"/>
      <w:sz w:val="32"/>
      <w:szCs w:val="32"/>
      <w:lang w:val="en-US" w:eastAsia="zh-CN" w:bidi="ar-SA"/>
    </w:rPr>
  </w:style>
  <w:style w:type="character" w:customStyle="1" w:styleId="28">
    <w:name w:val="正文文本 字符"/>
    <w:basedOn w:val="16"/>
    <w:link w:val="2"/>
    <w:qFormat/>
    <w:uiPriority w:val="0"/>
    <w:rPr>
      <w:rFonts w:ascii="Calibri" w:hAnsi="Calibri" w:eastAsia="仿宋" w:cstheme="minorBidi"/>
      <w:kern w:val="2"/>
      <w:sz w:val="32"/>
      <w:szCs w:val="32"/>
    </w:rPr>
  </w:style>
  <w:style w:type="character" w:customStyle="1" w:styleId="29">
    <w:name w:val="文档结构图 字符"/>
    <w:basedOn w:val="16"/>
    <w:link w:val="6"/>
    <w:qFormat/>
    <w:uiPriority w:val="0"/>
    <w:rPr>
      <w:rFonts w:ascii="宋体" w:hAnsiTheme="minorHAnsi" w:cstheme="minorBidi"/>
      <w:kern w:val="2"/>
      <w:sz w:val="18"/>
      <w:szCs w:val="18"/>
    </w:rPr>
  </w:style>
  <w:style w:type="character" w:customStyle="1" w:styleId="30">
    <w:name w:val="批注文字 字符"/>
    <w:basedOn w:val="16"/>
    <w:link w:val="7"/>
    <w:qFormat/>
    <w:uiPriority w:val="0"/>
    <w:rPr>
      <w:rFonts w:eastAsia="仿宋_GB2312" w:asciiTheme="minorHAnsi" w:hAnsiTheme="minorHAnsi" w:cstheme="minorBidi"/>
      <w:kern w:val="2"/>
      <w:sz w:val="32"/>
      <w:szCs w:val="32"/>
    </w:rPr>
  </w:style>
  <w:style w:type="character" w:customStyle="1" w:styleId="31">
    <w:name w:val="正文首行缩进 Char"/>
    <w:basedOn w:val="28"/>
    <w:qFormat/>
    <w:uiPriority w:val="0"/>
    <w:rPr>
      <w:rFonts w:eastAsia="仿宋_GB2312" w:asciiTheme="minorHAnsi" w:hAnsiTheme="minorHAnsi" w:cstheme="minorBidi"/>
      <w:kern w:val="2"/>
      <w:sz w:val="32"/>
      <w:szCs w:val="32"/>
    </w:rPr>
  </w:style>
  <w:style w:type="paragraph" w:customStyle="1" w:styleId="32">
    <w:name w:val="正文首行缩进1"/>
    <w:basedOn w:val="8"/>
    <w:qFormat/>
    <w:uiPriority w:val="0"/>
    <w:pPr>
      <w:snapToGrid/>
      <w:ind w:firstLine="420" w:firstLineChars="200"/>
      <w:jc w:val="both"/>
    </w:pPr>
    <w:rPr>
      <w:rFonts w:ascii="Calibri" w:hAnsi="Calibri" w:eastAsia="仿宋" w:cs="黑体"/>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84</Pages>
  <Words>6348</Words>
  <Characters>36184</Characters>
  <Lines>301</Lines>
  <Paragraphs>84</Paragraphs>
  <TotalTime>2</TotalTime>
  <ScaleCrop>false</ScaleCrop>
  <LinksUpToDate>false</LinksUpToDate>
  <CharactersWithSpaces>42448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2020-07-29T08:26:00Z</dcterms:created>
  <dc:creator>Administrator</dc:creator>
  <cp:lastModifiedBy>T</cp:lastModifiedBy>
  <cp:lastPrinted>2021-12-23T15:51:00Z</cp:lastPrinted>
  <dcterms:modified xsi:type="dcterms:W3CDTF">2022-02-28T09:16:07Z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6770CB764CF84309BED80FCE786E7316</vt:lpwstr>
  </property>
</Properties>
</file>